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936DB"/>
    <w:p w:rsidR="004936DB" w:rsidRDefault="004936DB"/>
    <w:tbl>
      <w:tblPr>
        <w:tblW w:w="0" w:type="auto"/>
        <w:tblCellMar>
          <w:left w:w="0" w:type="dxa"/>
          <w:right w:w="0" w:type="dxa"/>
        </w:tblCellMar>
        <w:tblLook w:val="04A0"/>
      </w:tblPr>
      <w:tblGrid>
        <w:gridCol w:w="1203"/>
        <w:gridCol w:w="2437"/>
        <w:gridCol w:w="5936"/>
      </w:tblGrid>
      <w:tr w:rsidR="004936DB" w:rsidRPr="004936DB" w:rsidTr="004936DB">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jc w:val="center"/>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w:t>
            </w:r>
          </w:p>
        </w:tc>
        <w:tc>
          <w:tcPr>
            <w:tcW w:w="0" w:type="auto"/>
            <w:gridSpan w:val="2"/>
            <w:tcBorders>
              <w:top w:val="single" w:sz="8" w:space="0" w:color="000000"/>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jc w:val="center"/>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Significant legal decisions – Income-tax</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Section</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Case</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Decision</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35D</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Tamil Nadu Road Development Co. Ltd. (2009) 316 ITR 380 (Mad.)</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Expenditure on techno-economic feasibility report for the manufacture of a new product incurred to find out new ideas by conducting test studies and pilot studies for improving the existing business  NOT CAPIAL and eligible for deduction U/s 35D</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36[1]</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Mihir</w:t>
            </w:r>
            <w:proofErr w:type="spellEnd"/>
            <w:r w:rsidRPr="004936DB">
              <w:rPr>
                <w:rFonts w:ascii="Times New Roman" w:eastAsia="Times New Roman" w:hAnsi="Times New Roman" w:cs="Times New Roman"/>
                <w:color w:val="000000"/>
                <w:sz w:val="24"/>
                <w:szCs w:val="24"/>
              </w:rPr>
              <w:t xml:space="preserve"> Textiles Ltd. (2009) 316 ITR 403 (</w:t>
            </w:r>
            <w:proofErr w:type="spellStart"/>
            <w:r w:rsidRPr="004936DB">
              <w:rPr>
                <w:rFonts w:ascii="Times New Roman" w:eastAsia="Times New Roman" w:hAnsi="Times New Roman" w:cs="Times New Roman"/>
                <w:color w:val="000000"/>
                <w:sz w:val="24"/>
                <w:szCs w:val="24"/>
              </w:rPr>
              <w:t>Guj</w:t>
            </w:r>
            <w:proofErr w:type="spellEnd"/>
            <w:r w:rsidRPr="004936DB">
              <w:rPr>
                <w:rFonts w:ascii="Times New Roman" w:eastAsia="Times New Roman" w:hAnsi="Times New Roman" w:cs="Times New Roman"/>
                <w:color w:val="000000"/>
                <w:sz w:val="24"/>
                <w:szCs w:val="24"/>
              </w:rPr>
              <w:t>.)</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Deputy CIT v. Core Health Care Ltd. [2008] 298 ITR 194.[SC]</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Commitment charges for issuing debenture for meeting the working capital needs of the existing business held REVENUE and deductible as debentures is in the nature of a loan and cannot assume the characteristic of investment.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2[31]</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Laxmi</w:t>
            </w:r>
            <w:proofErr w:type="spellEnd"/>
            <w:r w:rsidRPr="004936DB">
              <w:rPr>
                <w:rFonts w:ascii="Times New Roman" w:eastAsia="Times New Roman" w:hAnsi="Times New Roman" w:cs="Times New Roman"/>
                <w:color w:val="000000"/>
                <w:sz w:val="24"/>
                <w:szCs w:val="24"/>
              </w:rPr>
              <w:t xml:space="preserve"> Pd. and Sons (2009) 316 ITR 330 (All.)</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Forced  AOP  Cannot be constituted by inheritance under will as  AOP can only be formed as a voluntary  unit  for a particular purpose</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 xml:space="preserve">Author’s Note In view of CIT Vs. </w:t>
            </w:r>
            <w:proofErr w:type="spellStart"/>
            <w:r w:rsidRPr="004936DB">
              <w:rPr>
                <w:rFonts w:ascii="Times New Roman" w:eastAsia="Times New Roman" w:hAnsi="Times New Roman" w:cs="Times New Roman"/>
                <w:color w:val="FF0000"/>
                <w:sz w:val="24"/>
                <w:szCs w:val="24"/>
              </w:rPr>
              <w:t>Shunmugham</w:t>
            </w:r>
            <w:proofErr w:type="spellEnd"/>
            <w:r w:rsidRPr="004936DB">
              <w:rPr>
                <w:rFonts w:ascii="Times New Roman" w:eastAsia="Times New Roman" w:hAnsi="Times New Roman" w:cs="Times New Roman"/>
                <w:color w:val="FF0000"/>
                <w:sz w:val="24"/>
                <w:szCs w:val="24"/>
              </w:rPr>
              <w:t xml:space="preserve">, such holding of joint property / business may constitute </w:t>
            </w:r>
            <w:proofErr w:type="spellStart"/>
            <w:r w:rsidRPr="004936DB">
              <w:rPr>
                <w:rFonts w:ascii="Times New Roman" w:eastAsia="Times New Roman" w:hAnsi="Times New Roman" w:cs="Times New Roman"/>
                <w:color w:val="FF0000"/>
                <w:sz w:val="24"/>
                <w:szCs w:val="24"/>
              </w:rPr>
              <w:t>BoI</w:t>
            </w:r>
            <w:proofErr w:type="spellEnd"/>
            <w:r w:rsidRPr="004936DB">
              <w:rPr>
                <w:rFonts w:ascii="Times New Roman" w:eastAsia="Times New Roman" w:hAnsi="Times New Roman" w:cs="Times New Roman"/>
                <w:color w:val="FF0000"/>
                <w:sz w:val="24"/>
                <w:szCs w:val="24"/>
              </w:rPr>
              <w:t xml:space="preserve"> .Also note that between </w:t>
            </w:r>
            <w:proofErr w:type="spellStart"/>
            <w:r w:rsidRPr="004936DB">
              <w:rPr>
                <w:rFonts w:ascii="Times New Roman" w:eastAsia="Times New Roman" w:hAnsi="Times New Roman" w:cs="Times New Roman"/>
                <w:color w:val="FF0000"/>
                <w:sz w:val="24"/>
                <w:szCs w:val="24"/>
              </w:rPr>
              <w:t>BoI</w:t>
            </w:r>
            <w:proofErr w:type="spellEnd"/>
            <w:proofErr w:type="gramStart"/>
            <w:r w:rsidRPr="004936DB">
              <w:rPr>
                <w:rFonts w:ascii="Times New Roman" w:eastAsia="Times New Roman" w:hAnsi="Times New Roman" w:cs="Times New Roman"/>
                <w:color w:val="FF0000"/>
                <w:sz w:val="24"/>
                <w:szCs w:val="24"/>
              </w:rPr>
              <w:t>  and</w:t>
            </w:r>
            <w:proofErr w:type="gramEnd"/>
            <w:r w:rsidRPr="004936DB">
              <w:rPr>
                <w:rFonts w:ascii="Times New Roman" w:eastAsia="Times New Roman" w:hAnsi="Times New Roman" w:cs="Times New Roman"/>
                <w:color w:val="FF0000"/>
                <w:sz w:val="24"/>
                <w:szCs w:val="24"/>
              </w:rPr>
              <w:t xml:space="preserve"> </w:t>
            </w:r>
            <w:proofErr w:type="spellStart"/>
            <w:r w:rsidRPr="004936DB">
              <w:rPr>
                <w:rFonts w:ascii="Times New Roman" w:eastAsia="Times New Roman" w:hAnsi="Times New Roman" w:cs="Times New Roman"/>
                <w:color w:val="FF0000"/>
                <w:sz w:val="24"/>
                <w:szCs w:val="24"/>
              </w:rPr>
              <w:t>AoP</w:t>
            </w:r>
            <w:proofErr w:type="spellEnd"/>
            <w:r w:rsidRPr="004936DB">
              <w:rPr>
                <w:rFonts w:ascii="Times New Roman" w:eastAsia="Times New Roman" w:hAnsi="Times New Roman" w:cs="Times New Roman"/>
                <w:color w:val="FF0000"/>
                <w:sz w:val="24"/>
                <w:szCs w:val="24"/>
              </w:rPr>
              <w:t xml:space="preserve"> has the missing link of intention to from the entity.</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2[31]</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T. George and M. </w:t>
            </w:r>
            <w:proofErr w:type="spellStart"/>
            <w:r w:rsidRPr="004936DB">
              <w:rPr>
                <w:rFonts w:ascii="Times New Roman" w:eastAsia="Times New Roman" w:hAnsi="Times New Roman" w:cs="Times New Roman"/>
                <w:color w:val="000000"/>
                <w:sz w:val="24"/>
                <w:szCs w:val="24"/>
              </w:rPr>
              <w:t>Syed</w:t>
            </w:r>
            <w:proofErr w:type="spellEnd"/>
            <w:r w:rsidRPr="004936DB">
              <w:rPr>
                <w:rFonts w:ascii="Times New Roman" w:eastAsia="Times New Roman" w:hAnsi="Times New Roman" w:cs="Times New Roman"/>
                <w:color w:val="000000"/>
                <w:sz w:val="24"/>
                <w:szCs w:val="24"/>
              </w:rPr>
              <w:t xml:space="preserve"> </w:t>
            </w:r>
            <w:proofErr w:type="spellStart"/>
            <w:r w:rsidRPr="004936DB">
              <w:rPr>
                <w:rFonts w:ascii="Times New Roman" w:eastAsia="Times New Roman" w:hAnsi="Times New Roman" w:cs="Times New Roman"/>
                <w:color w:val="000000"/>
                <w:sz w:val="24"/>
                <w:szCs w:val="24"/>
              </w:rPr>
              <w:t>Alavi</w:t>
            </w:r>
            <w:proofErr w:type="spellEnd"/>
            <w:r w:rsidRPr="004936DB">
              <w:rPr>
                <w:rFonts w:ascii="Times New Roman" w:eastAsia="Times New Roman" w:hAnsi="Times New Roman" w:cs="Times New Roman"/>
                <w:color w:val="000000"/>
                <w:sz w:val="24"/>
                <w:szCs w:val="24"/>
              </w:rPr>
              <w:t xml:space="preserve"> (2009) 316 ITR 333 (Ker.)</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If two or more persons carry on a business </w:t>
            </w:r>
            <w:proofErr w:type="gramStart"/>
            <w:r w:rsidRPr="004936DB">
              <w:rPr>
                <w:rFonts w:ascii="Times New Roman" w:eastAsia="Times New Roman" w:hAnsi="Times New Roman" w:cs="Times New Roman"/>
                <w:color w:val="000000"/>
                <w:sz w:val="24"/>
                <w:szCs w:val="24"/>
              </w:rPr>
              <w:t>jointly ,</w:t>
            </w:r>
            <w:proofErr w:type="gramEnd"/>
            <w:r w:rsidRPr="004936DB">
              <w:rPr>
                <w:rFonts w:ascii="Times New Roman" w:eastAsia="Times New Roman" w:hAnsi="Times New Roman" w:cs="Times New Roman"/>
                <w:color w:val="000000"/>
                <w:sz w:val="24"/>
                <w:szCs w:val="24"/>
              </w:rPr>
              <w:t xml:space="preserve"> it is </w:t>
            </w:r>
            <w:proofErr w:type="spellStart"/>
            <w:r w:rsidRPr="004936DB">
              <w:rPr>
                <w:rFonts w:ascii="Times New Roman" w:eastAsia="Times New Roman" w:hAnsi="Times New Roman" w:cs="Times New Roman"/>
                <w:color w:val="000000"/>
                <w:sz w:val="24"/>
                <w:szCs w:val="24"/>
              </w:rPr>
              <w:t>AoP</w:t>
            </w:r>
            <w:proofErr w:type="spellEnd"/>
            <w:r w:rsidRPr="004936DB">
              <w:rPr>
                <w:rFonts w:ascii="Times New Roman" w:eastAsia="Times New Roman" w:hAnsi="Times New Roman" w:cs="Times New Roman"/>
                <w:color w:val="000000"/>
                <w:sz w:val="24"/>
                <w:szCs w:val="24"/>
              </w:rPr>
              <w:t xml:space="preserve"> . No written agreement between persons necessary to prove </w:t>
            </w:r>
            <w:proofErr w:type="spellStart"/>
            <w:r w:rsidRPr="004936DB">
              <w:rPr>
                <w:rFonts w:ascii="Times New Roman" w:eastAsia="Times New Roman" w:hAnsi="Times New Roman" w:cs="Times New Roman"/>
                <w:color w:val="000000"/>
                <w:sz w:val="24"/>
                <w:szCs w:val="24"/>
              </w:rPr>
              <w:t>AoP</w:t>
            </w:r>
            <w:proofErr w:type="spellEnd"/>
            <w:r w:rsidRPr="004936DB">
              <w:rPr>
                <w:rFonts w:ascii="Times New Roman" w:eastAsia="Times New Roman" w:hAnsi="Times New Roman" w:cs="Times New Roman"/>
                <w:color w:val="000000"/>
                <w:sz w:val="24"/>
                <w:szCs w:val="24"/>
              </w:rPr>
              <w:t>   in view</w:t>
            </w:r>
            <w:proofErr w:type="gramStart"/>
            <w:r w:rsidRPr="004936DB">
              <w:rPr>
                <w:rFonts w:ascii="Times New Roman" w:eastAsia="Times New Roman" w:hAnsi="Times New Roman" w:cs="Times New Roman"/>
                <w:color w:val="000000"/>
                <w:sz w:val="24"/>
                <w:szCs w:val="24"/>
              </w:rPr>
              <w:t>  of</w:t>
            </w:r>
            <w:proofErr w:type="gramEnd"/>
            <w:r w:rsidRPr="004936DB">
              <w:rPr>
                <w:rFonts w:ascii="Times New Roman" w:eastAsia="Times New Roman" w:hAnsi="Times New Roman" w:cs="Times New Roman"/>
                <w:color w:val="000000"/>
                <w:sz w:val="24"/>
                <w:szCs w:val="24"/>
              </w:rPr>
              <w:t xml:space="preserve"> seizure of accounts was enough to  prove joint investments and sharing of profits in business.</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Author’s Note: This is case of implied agreement</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80-[IB]</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Liberty India v. CIT (2009) 317 ITR 218 (SC)</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DEPB benefits and Duty Drawback ARE NOT profits</w:t>
            </w:r>
            <w:proofErr w:type="gramStart"/>
            <w:r w:rsidRPr="004936DB">
              <w:rPr>
                <w:rFonts w:ascii="Times New Roman" w:eastAsia="Times New Roman" w:hAnsi="Times New Roman" w:cs="Times New Roman"/>
                <w:color w:val="000000"/>
                <w:sz w:val="24"/>
                <w:szCs w:val="24"/>
              </w:rPr>
              <w:t>  “</w:t>
            </w:r>
            <w:proofErr w:type="gramEnd"/>
            <w:r w:rsidRPr="004936DB">
              <w:rPr>
                <w:rFonts w:ascii="Times New Roman" w:eastAsia="Times New Roman" w:hAnsi="Times New Roman" w:cs="Times New Roman"/>
                <w:color w:val="000000"/>
                <w:sz w:val="24"/>
                <w:szCs w:val="24"/>
              </w:rPr>
              <w:t>derived” from the business of the industrial undertaking to be eligible for deduction  as these are  ancillary profits of such undertaking.</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Author’s Note: Contrast this with interest</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80-IA</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Jagdishprasad</w:t>
            </w:r>
            <w:proofErr w:type="spellEnd"/>
            <w:r w:rsidRPr="004936DB">
              <w:rPr>
                <w:rFonts w:ascii="Times New Roman" w:eastAsia="Times New Roman" w:hAnsi="Times New Roman" w:cs="Times New Roman"/>
                <w:color w:val="000000"/>
                <w:sz w:val="24"/>
                <w:szCs w:val="24"/>
              </w:rPr>
              <w:t xml:space="preserve"> M. Joshi (2009) 318 ITR 420 (</w:t>
            </w:r>
            <w:proofErr w:type="spellStart"/>
            <w:r w:rsidRPr="004936DB">
              <w:rPr>
                <w:rFonts w:ascii="Times New Roman" w:eastAsia="Times New Roman" w:hAnsi="Times New Roman" w:cs="Times New Roman"/>
                <w:color w:val="000000"/>
                <w:sz w:val="24"/>
                <w:szCs w:val="24"/>
              </w:rPr>
              <w:t>Bom</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Interest on fixed deposits with the bank and other interest income were in the nature of business income and should be considered as part of eligible business profit u/s</w:t>
            </w:r>
            <w:proofErr w:type="gramStart"/>
            <w:r w:rsidRPr="004936DB">
              <w:rPr>
                <w:rFonts w:ascii="Times New Roman" w:eastAsia="Times New Roman" w:hAnsi="Times New Roman" w:cs="Times New Roman"/>
                <w:color w:val="000000"/>
                <w:sz w:val="24"/>
                <w:szCs w:val="24"/>
              </w:rPr>
              <w:t>  80</w:t>
            </w:r>
            <w:proofErr w:type="gramEnd"/>
            <w:r w:rsidRPr="004936DB">
              <w:rPr>
                <w:rFonts w:ascii="Times New Roman" w:eastAsia="Times New Roman" w:hAnsi="Times New Roman" w:cs="Times New Roman"/>
                <w:color w:val="000000"/>
                <w:sz w:val="24"/>
                <w:szCs w:val="24"/>
              </w:rPr>
              <w:t>-IA.</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Author’s Note: Contrast this with DEPB</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80-IA</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Kiran</w:t>
            </w:r>
            <w:proofErr w:type="spellEnd"/>
            <w:r w:rsidRPr="004936DB">
              <w:rPr>
                <w:rFonts w:ascii="Times New Roman" w:eastAsia="Times New Roman" w:hAnsi="Times New Roman" w:cs="Times New Roman"/>
                <w:color w:val="000000"/>
                <w:sz w:val="24"/>
                <w:szCs w:val="24"/>
              </w:rPr>
              <w:t xml:space="preserve"> Enterprises (2010) 327 ITR 520 (HP)</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Freight subsidy provided to industries set up in remote areas where rail facilities were not available and some percentage of the transport expenses incurred to transport raw under a Central Government  scheme  NOT ATTRIBUTABLE to  “profit derived from the eligible </w:t>
            </w:r>
            <w:r w:rsidRPr="004936DB">
              <w:rPr>
                <w:rFonts w:ascii="Times New Roman" w:eastAsia="Times New Roman" w:hAnsi="Times New Roman" w:cs="Times New Roman"/>
                <w:color w:val="000000"/>
                <w:sz w:val="24"/>
                <w:szCs w:val="24"/>
              </w:rPr>
              <w:lastRenderedPageBreak/>
              <w:t>business” u/s-80-IA since it was not an operational profit.</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lastRenderedPageBreak/>
              <w:t>44BB</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Director of Income Tax (International Taxation) v. Schlumberger Asia Services Ltd. (2009) 317 ITR 156 (</w:t>
            </w:r>
            <w:proofErr w:type="spellStart"/>
            <w:r w:rsidRPr="004936DB">
              <w:rPr>
                <w:rFonts w:ascii="Times New Roman" w:eastAsia="Times New Roman" w:hAnsi="Times New Roman" w:cs="Times New Roman"/>
                <w:color w:val="000000"/>
                <w:sz w:val="24"/>
                <w:szCs w:val="24"/>
              </w:rPr>
              <w:t>Uttrakhand</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Reimbursement of expenses towards customs duty </w:t>
            </w:r>
            <w:proofErr w:type="spellStart"/>
            <w:r w:rsidRPr="004936DB">
              <w:rPr>
                <w:rFonts w:ascii="Times New Roman" w:eastAsia="Times New Roman" w:hAnsi="Times New Roman" w:cs="Times New Roman"/>
                <w:color w:val="000000"/>
                <w:sz w:val="24"/>
                <w:szCs w:val="24"/>
              </w:rPr>
              <w:t>beingstatutory</w:t>
            </w:r>
            <w:proofErr w:type="spellEnd"/>
            <w:r w:rsidRPr="004936DB">
              <w:rPr>
                <w:rFonts w:ascii="Times New Roman" w:eastAsia="Times New Roman" w:hAnsi="Times New Roman" w:cs="Times New Roman"/>
                <w:color w:val="000000"/>
                <w:sz w:val="24"/>
                <w:szCs w:val="24"/>
              </w:rPr>
              <w:t xml:space="preserve"> in nature  for import of  equipment required for rendering services to ONGC  does not form part of the taxable profits computed le U/s 44BB – Custom Duty has no element of profit , unlike the other amounts received towards reimbursement.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131</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proofErr w:type="spellStart"/>
            <w:r w:rsidRPr="004936DB">
              <w:rPr>
                <w:rFonts w:ascii="Times New Roman" w:eastAsia="Times New Roman" w:hAnsi="Times New Roman" w:cs="Times New Roman"/>
                <w:color w:val="000000"/>
                <w:sz w:val="24"/>
                <w:szCs w:val="24"/>
              </w:rPr>
              <w:t>Subha</w:t>
            </w:r>
            <w:proofErr w:type="spellEnd"/>
            <w:r w:rsidRPr="004936DB">
              <w:rPr>
                <w:rFonts w:ascii="Times New Roman" w:eastAsia="Times New Roman" w:hAnsi="Times New Roman" w:cs="Times New Roman"/>
                <w:color w:val="000000"/>
                <w:sz w:val="24"/>
                <w:szCs w:val="24"/>
              </w:rPr>
              <w:t xml:space="preserve"> and </w:t>
            </w:r>
            <w:proofErr w:type="spellStart"/>
            <w:r w:rsidRPr="004936DB">
              <w:rPr>
                <w:rFonts w:ascii="Times New Roman" w:eastAsia="Times New Roman" w:hAnsi="Times New Roman" w:cs="Times New Roman"/>
                <w:color w:val="000000"/>
                <w:sz w:val="24"/>
                <w:szCs w:val="24"/>
              </w:rPr>
              <w:t>Prabha</w:t>
            </w:r>
            <w:proofErr w:type="spellEnd"/>
            <w:r w:rsidRPr="004936DB">
              <w:rPr>
                <w:rFonts w:ascii="Times New Roman" w:eastAsia="Times New Roman" w:hAnsi="Times New Roman" w:cs="Times New Roman"/>
                <w:color w:val="000000"/>
                <w:sz w:val="24"/>
                <w:szCs w:val="24"/>
              </w:rPr>
              <w:t xml:space="preserve"> Builders P Ltd. vs. ITO (2009) 318 ITR 29 (</w:t>
            </w:r>
            <w:proofErr w:type="spellStart"/>
            <w:r w:rsidRPr="004936DB">
              <w:rPr>
                <w:rFonts w:ascii="Times New Roman" w:eastAsia="Times New Roman" w:hAnsi="Times New Roman" w:cs="Times New Roman"/>
                <w:color w:val="000000"/>
                <w:sz w:val="24"/>
                <w:szCs w:val="24"/>
              </w:rPr>
              <w:t>Karn</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Extension of the maximum period of retention of 15 days of books of accounts and documents impounded/s 131 can only be a </w:t>
            </w:r>
            <w:proofErr w:type="spellStart"/>
            <w:r w:rsidRPr="004936DB">
              <w:rPr>
                <w:rFonts w:ascii="Times New Roman" w:eastAsia="Times New Roman" w:hAnsi="Times New Roman" w:cs="Times New Roman"/>
                <w:color w:val="000000"/>
                <w:sz w:val="24"/>
                <w:szCs w:val="24"/>
              </w:rPr>
              <w:t>one time</w:t>
            </w:r>
            <w:proofErr w:type="spellEnd"/>
            <w:r w:rsidRPr="004936DB">
              <w:rPr>
                <w:rFonts w:ascii="Times New Roman" w:eastAsia="Times New Roman" w:hAnsi="Times New Roman" w:cs="Times New Roman"/>
                <w:color w:val="000000"/>
                <w:sz w:val="24"/>
                <w:szCs w:val="24"/>
              </w:rPr>
              <w:t xml:space="preserve"> exercise and supplementing the outer limit of 15 days for few more days depending on the circumstances. Since the outer limit is specified in days, the period can be extended only in days and not in months or years or indefinitely</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2(22)(e)</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Ambassador Travels (P) Ltd. (2009) 318 ITR 376 (Del.)</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 Advances granted to/by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a travel agency the two concerns dealing with holiday resorts and tourism industry in regular course of business  S 2(22)(e) NOT  attracted.</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194J</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Bharti</w:t>
            </w:r>
            <w:proofErr w:type="spellEnd"/>
            <w:r w:rsidRPr="004936DB">
              <w:rPr>
                <w:rFonts w:ascii="Times New Roman" w:eastAsia="Times New Roman" w:hAnsi="Times New Roman" w:cs="Times New Roman"/>
                <w:color w:val="000000"/>
                <w:sz w:val="24"/>
                <w:szCs w:val="24"/>
              </w:rPr>
              <w:t xml:space="preserve"> Cellular Ltd. (2009) 319 ITR 139 (Del.)</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Payments made 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to    MTNL/BSNL etc. the services rendered relating to interconnection, port access  through  their network   their  licensed careless   under the </w:t>
            </w:r>
            <w:proofErr w:type="spellStart"/>
            <w:r w:rsidRPr="004936DB">
              <w:rPr>
                <w:rFonts w:ascii="Times New Roman" w:eastAsia="Times New Roman" w:hAnsi="Times New Roman" w:cs="Times New Roman"/>
                <w:color w:val="000000"/>
                <w:sz w:val="24"/>
                <w:szCs w:val="24"/>
              </w:rPr>
              <w:t>DoT</w:t>
            </w:r>
            <w:proofErr w:type="spellEnd"/>
            <w:r w:rsidRPr="004936DB">
              <w:rPr>
                <w:rFonts w:ascii="Times New Roman" w:eastAsia="Times New Roman" w:hAnsi="Times New Roman" w:cs="Times New Roman"/>
                <w:color w:val="000000"/>
                <w:sz w:val="24"/>
                <w:szCs w:val="24"/>
              </w:rPr>
              <w:t xml:space="preserve"> </w:t>
            </w:r>
            <w:proofErr w:type="spellStart"/>
            <w:r w:rsidRPr="004936DB">
              <w:rPr>
                <w:rFonts w:ascii="Times New Roman" w:eastAsia="Times New Roman" w:hAnsi="Times New Roman" w:cs="Times New Roman"/>
                <w:color w:val="000000"/>
                <w:sz w:val="24"/>
                <w:szCs w:val="24"/>
              </w:rPr>
              <w:t>Licences</w:t>
            </w:r>
            <w:proofErr w:type="spellEnd"/>
            <w:r w:rsidRPr="004936DB">
              <w:rPr>
                <w:rFonts w:ascii="Times New Roman" w:eastAsia="Times New Roman" w:hAnsi="Times New Roman" w:cs="Times New Roman"/>
                <w:color w:val="000000"/>
                <w:sz w:val="24"/>
                <w:szCs w:val="24"/>
              </w:rPr>
              <w:t xml:space="preserve"> did not involve any human interface and, therefore, the services ARE NOT  "technical services"  u/s  194J as it was only a facility to use the gateway and the network of MTNL/ BSNL , who  did not provide any assistance to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in managing, operating, setting up their infrastructure and networks although service per se is  "technical" as it involved sophisticated technology,  but  "</w:t>
            </w:r>
            <w:r w:rsidRPr="004936DB">
              <w:rPr>
                <w:rFonts w:ascii="Times New Roman" w:eastAsia="Times New Roman" w:hAnsi="Times New Roman" w:cs="Times New Roman"/>
                <w:color w:val="000000"/>
                <w:sz w:val="24"/>
                <w:szCs w:val="24"/>
                <w:u w:val="single"/>
              </w:rPr>
              <w:t>technical service" is not to be construed in the abstract and</w:t>
            </w:r>
            <w:r w:rsidRPr="004936DB">
              <w:rPr>
                <w:rFonts w:ascii="Times New Roman" w:eastAsia="Times New Roman" w:hAnsi="Times New Roman" w:cs="Times New Roman"/>
                <w:color w:val="000000"/>
                <w:sz w:val="24"/>
                <w:szCs w:val="24"/>
              </w:rPr>
              <w:t> </w:t>
            </w:r>
            <w:r w:rsidRPr="004936DB">
              <w:rPr>
                <w:rFonts w:ascii="Times New Roman" w:eastAsia="Times New Roman" w:hAnsi="Times New Roman" w:cs="Times New Roman"/>
                <w:color w:val="000000"/>
                <w:sz w:val="24"/>
                <w:szCs w:val="24"/>
                <w:u w:val="single"/>
              </w:rPr>
              <w:t>general sense</w:t>
            </w:r>
            <w:r w:rsidRPr="004936DB">
              <w:rPr>
                <w:rFonts w:ascii="Times New Roman" w:eastAsia="Times New Roman" w:hAnsi="Times New Roman" w:cs="Times New Roman"/>
                <w:color w:val="000000"/>
                <w:sz w:val="24"/>
                <w:szCs w:val="24"/>
              </w:rPr>
              <w:t> but in the narrower sense as circumscribed by the expressions "managerial service" and "consultancy service" under Explanation 2 to section 9(1)(vii). The expression "technical service" would have reference to only technical service rendered by a human and does not include any service provided by machines or robots.</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32(1)(</w:t>
            </w:r>
            <w:proofErr w:type="spellStart"/>
            <w:r w:rsidRPr="004936DB">
              <w:rPr>
                <w:rFonts w:ascii="Times New Roman" w:eastAsia="Times New Roman" w:hAnsi="Times New Roman" w:cs="Times New Roman"/>
                <w:color w:val="000000"/>
                <w:sz w:val="24"/>
                <w:szCs w:val="24"/>
              </w:rPr>
              <w:t>iia</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CIT v. VTM Limited (2009) 319 ITR 336 (Mad.)</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company manufacturing textile goods  ENTITLED TO claim additional depreciation u/s32(1)(</w:t>
            </w:r>
            <w:proofErr w:type="spellStart"/>
            <w:r w:rsidRPr="004936DB">
              <w:rPr>
                <w:rFonts w:ascii="Times New Roman" w:eastAsia="Times New Roman" w:hAnsi="Times New Roman" w:cs="Times New Roman"/>
                <w:color w:val="000000"/>
                <w:sz w:val="24"/>
                <w:szCs w:val="24"/>
              </w:rPr>
              <w:t>iia</w:t>
            </w:r>
            <w:proofErr w:type="spellEnd"/>
            <w:r w:rsidRPr="004936DB">
              <w:rPr>
                <w:rFonts w:ascii="Times New Roman" w:eastAsia="Times New Roman" w:hAnsi="Times New Roman" w:cs="Times New Roman"/>
                <w:color w:val="000000"/>
                <w:sz w:val="24"/>
                <w:szCs w:val="24"/>
              </w:rPr>
              <w:t xml:space="preserve">) on setting up of a windmill for generation of power as the provision does not state that the setting up of a new machinery or plant should have any operational connectivity to the article or thing that is already being manufactured 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28</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Udupi</w:t>
            </w:r>
            <w:proofErr w:type="spellEnd"/>
            <w:r w:rsidRPr="004936DB">
              <w:rPr>
                <w:rFonts w:ascii="Times New Roman" w:eastAsia="Times New Roman" w:hAnsi="Times New Roman" w:cs="Times New Roman"/>
                <w:color w:val="000000"/>
                <w:sz w:val="24"/>
                <w:szCs w:val="24"/>
              </w:rPr>
              <w:t xml:space="preserve"> Builders P. Ltd. (2009) 319 ITR </w:t>
            </w:r>
            <w:r w:rsidRPr="004936DB">
              <w:rPr>
                <w:rFonts w:ascii="Times New Roman" w:eastAsia="Times New Roman" w:hAnsi="Times New Roman" w:cs="Times New Roman"/>
                <w:color w:val="000000"/>
                <w:sz w:val="24"/>
                <w:szCs w:val="24"/>
              </w:rPr>
              <w:lastRenderedPageBreak/>
              <w:t>440 (</w:t>
            </w:r>
            <w:proofErr w:type="spellStart"/>
            <w:r w:rsidRPr="004936DB">
              <w:rPr>
                <w:rFonts w:ascii="Times New Roman" w:eastAsia="Times New Roman" w:hAnsi="Times New Roman" w:cs="Times New Roman"/>
                <w:color w:val="000000"/>
                <w:sz w:val="24"/>
                <w:szCs w:val="24"/>
              </w:rPr>
              <w:t>Kar</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lastRenderedPageBreak/>
              <w:t xml:space="preserve">The subsidy granted by the State Government to encourage the hotel industry and tourism CAPITAL not REVENUE. </w:t>
            </w:r>
            <w:r w:rsidRPr="004936DB">
              <w:rPr>
                <w:rFonts w:ascii="Times New Roman" w:eastAsia="Times New Roman" w:hAnsi="Times New Roman" w:cs="Times New Roman"/>
                <w:color w:val="000000"/>
                <w:sz w:val="24"/>
                <w:szCs w:val="24"/>
              </w:rPr>
              <w:lastRenderedPageBreak/>
              <w:t>The Court noted that the State Government had released the subsidy amount even after ten years of the commencement of the project.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lastRenderedPageBreak/>
              <w:t>234A/B/C</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Assam Mineral Development Corporation Ltd. (2010) 320 ITR 149 (</w:t>
            </w:r>
            <w:proofErr w:type="spellStart"/>
            <w:r w:rsidRPr="004936DB">
              <w:rPr>
                <w:rFonts w:ascii="Times New Roman" w:eastAsia="Times New Roman" w:hAnsi="Times New Roman" w:cs="Times New Roman"/>
                <w:color w:val="000000"/>
                <w:sz w:val="24"/>
                <w:szCs w:val="24"/>
              </w:rPr>
              <w:t>Gau</w:t>
            </w:r>
            <w:proofErr w:type="spellEnd"/>
            <w:r w:rsidRPr="004936DB">
              <w:rPr>
                <w:rFonts w:ascii="Times New Roman" w:eastAsia="Times New Roman" w:hAnsi="Times New Roman" w:cs="Times New Roman"/>
                <w:color w:val="000000"/>
                <w:sz w:val="24"/>
                <w:szCs w:val="24"/>
              </w:rPr>
              <w:t>)</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Anjum</w:t>
            </w:r>
            <w:proofErr w:type="spellEnd"/>
            <w:r w:rsidRPr="004936DB">
              <w:rPr>
                <w:rFonts w:ascii="Times New Roman" w:eastAsia="Times New Roman" w:hAnsi="Times New Roman" w:cs="Times New Roman"/>
                <w:color w:val="000000"/>
                <w:sz w:val="24"/>
                <w:szCs w:val="24"/>
              </w:rPr>
              <w:t xml:space="preserve"> M. H. </w:t>
            </w:r>
            <w:proofErr w:type="spellStart"/>
            <w:r w:rsidRPr="004936DB">
              <w:rPr>
                <w:rFonts w:ascii="Times New Roman" w:eastAsia="Times New Roman" w:hAnsi="Times New Roman" w:cs="Times New Roman"/>
                <w:color w:val="000000"/>
                <w:sz w:val="24"/>
                <w:szCs w:val="24"/>
              </w:rPr>
              <w:t>Ghaswala</w:t>
            </w:r>
            <w:proofErr w:type="spellEnd"/>
            <w:r w:rsidRPr="004936DB">
              <w:rPr>
                <w:rFonts w:ascii="Times New Roman" w:eastAsia="Times New Roman" w:hAnsi="Times New Roman" w:cs="Times New Roman"/>
                <w:color w:val="000000"/>
                <w:sz w:val="24"/>
                <w:szCs w:val="24"/>
              </w:rPr>
              <w:t xml:space="preserve"> (2001) 252 ITR 1,[SC] Followed</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Interest u/s 234B and 234C, is mandatory in nature and is integral part of the assessment order, No specific order levying interest though the direction to charge such interest necessary.</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154(7)</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Tony Electronics Limited (2010) 320 ITR 378 (Del.)</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Hind Wire Industries v. CIT (1995) 212 ITR 639[SC] followed.</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If an appeal against the order passed by an authority is preferred and is decided by the appellate authority, the order of the A.O ceases to exist as it merges with the order of the appellate authority.  Hence  the period of  4 years  u/s n 154(7) will  be counted from the date of the appeal order NOT from the date of original assessment order</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115J</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N. J. Jose and Co. (P.) Ltd. v. ACIT (2010) 321 ITR 0132 (Ker.)</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Long-term capital gain exempted u/s 54E TO be included in the book profit computed u/s 115J ,which does not provide for any deduction in terms of section 54E if long-term capital gains are part of the profits included in the P/L Account</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Author’s Note- Decision will be applicable  on </w:t>
            </w:r>
            <w:r w:rsidRPr="004936DB">
              <w:rPr>
                <w:rFonts w:ascii="Times New Roman" w:eastAsia="Times New Roman" w:hAnsi="Times New Roman" w:cs="Times New Roman"/>
                <w:color w:val="000000"/>
                <w:sz w:val="24"/>
                <w:szCs w:val="24"/>
              </w:rPr>
              <w:t>MAT)U/s115JB,</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New 115JB includes even LTCG. Possibly exemption availed say under 54EC  will likewise be included in book profits</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40(b)(v)</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Anil Hardware Store (2010) 323 ITR 0368 (HP)</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The partnership deed provided for aggregate remuneration to profits as per the limits given in S 40(b) – Book Profit was accordingly defined.  Remuneration was to be credited to the partners’ accounts and partners were entitled to equal remuneration. In case of loss in any year, remuneration was not payable. However, the partners were free to invest certain amounts of the profits into other venture and receive less remuneration than permissible amount but there is nothing to debar them from claiming the maximum amount of remuneration payable.  The method of remuneration having been laid down,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-firm  </w:t>
            </w:r>
            <w:r w:rsidRPr="004936DB">
              <w:rPr>
                <w:rFonts w:ascii="Times New Roman" w:eastAsia="Times New Roman" w:hAnsi="Times New Roman" w:cs="Times New Roman"/>
                <w:color w:val="000000"/>
                <w:sz w:val="24"/>
                <w:szCs w:val="24"/>
                <w:u w:val="single"/>
              </w:rPr>
              <w:t>entitled </w:t>
            </w:r>
            <w:r w:rsidRPr="004936DB">
              <w:rPr>
                <w:rFonts w:ascii="Times New Roman" w:eastAsia="Times New Roman" w:hAnsi="Times New Roman" w:cs="Times New Roman"/>
                <w:color w:val="000000"/>
                <w:sz w:val="24"/>
                <w:szCs w:val="24"/>
              </w:rPr>
              <w:t>to deduct the remuneration paid to the partners u/s 40(b)(v)</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The CBDT  Circular No. 739 dated 25-3-1996, clarified that no deduction under section 40(b)(v) will be admissible unless the partnership deed either specifies the amount of remuneration payable to each individual working partner </w:t>
            </w:r>
            <w:r w:rsidRPr="004936DB">
              <w:rPr>
                <w:rFonts w:ascii="Times New Roman" w:eastAsia="Times New Roman" w:hAnsi="Times New Roman" w:cs="Times New Roman"/>
                <w:color w:val="000000"/>
                <w:sz w:val="24"/>
                <w:szCs w:val="24"/>
              </w:rPr>
              <w:lastRenderedPageBreak/>
              <w:t>or lays down the manner of quantifying such remuneration.</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In this case, since the partnership deed </w:t>
            </w:r>
            <w:r w:rsidRPr="004936DB">
              <w:rPr>
                <w:rFonts w:ascii="Times New Roman" w:eastAsia="Times New Roman" w:hAnsi="Times New Roman" w:cs="Times New Roman"/>
                <w:color w:val="000000"/>
                <w:sz w:val="24"/>
                <w:szCs w:val="24"/>
                <w:u w:val="single"/>
              </w:rPr>
              <w:t>lays down the manner of quantifying such remuneration</w:t>
            </w:r>
            <w:r w:rsidRPr="004936DB">
              <w:rPr>
                <w:rFonts w:ascii="Times New Roman" w:eastAsia="Times New Roman" w:hAnsi="Times New Roman" w:cs="Times New Roman"/>
                <w:color w:val="000000"/>
                <w:sz w:val="24"/>
                <w:szCs w:val="24"/>
              </w:rPr>
              <w:t>, the same would be allowed as deduction subject to the limits specified in section 40(b) (v).</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lastRenderedPageBreak/>
              <w:t>119(2)(b)</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proofErr w:type="spellStart"/>
            <w:r w:rsidRPr="004936DB">
              <w:rPr>
                <w:rFonts w:ascii="Times New Roman" w:eastAsia="Times New Roman" w:hAnsi="Times New Roman" w:cs="Times New Roman"/>
                <w:color w:val="000000"/>
                <w:sz w:val="24"/>
                <w:szCs w:val="24"/>
              </w:rPr>
              <w:t>Lodhi</w:t>
            </w:r>
            <w:proofErr w:type="spellEnd"/>
            <w:r w:rsidRPr="004936DB">
              <w:rPr>
                <w:rFonts w:ascii="Times New Roman" w:eastAsia="Times New Roman" w:hAnsi="Times New Roman" w:cs="Times New Roman"/>
                <w:color w:val="000000"/>
                <w:sz w:val="24"/>
                <w:szCs w:val="24"/>
              </w:rPr>
              <w:t xml:space="preserve"> Property Company Ltd. v. Under Secretary, (ITA-II), Department of Revenue (2010] 323 ITR 0441 (Del.)</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(CBDT) has power u/s 119(2) (b) to condone the delay in filing return of income or any other relief claimed.</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Note : The case has peculiar sequence of events to precede the ruling as the assess could not file a loss return on the due date because he was shuttle from one room to another and by the time the return filing counter was closed !! </w:t>
            </w:r>
            <w:proofErr w:type="spellStart"/>
            <w:r w:rsidRPr="004936DB">
              <w:rPr>
                <w:rFonts w:ascii="Times New Roman" w:eastAsia="Times New Roman" w:hAnsi="Times New Roman" w:cs="Times New Roman"/>
                <w:color w:val="000000"/>
                <w:sz w:val="24"/>
                <w:szCs w:val="24"/>
              </w:rPr>
              <w:t>Thesecircumstances</w:t>
            </w:r>
            <w:proofErr w:type="spellEnd"/>
            <w:r w:rsidRPr="004936DB">
              <w:rPr>
                <w:rFonts w:ascii="Times New Roman" w:eastAsia="Times New Roman" w:hAnsi="Times New Roman" w:cs="Times New Roman"/>
                <w:color w:val="000000"/>
                <w:sz w:val="24"/>
                <w:szCs w:val="24"/>
              </w:rPr>
              <w:t xml:space="preserve"> were recorded in a letter filed with Dy.CIT</w:t>
            </w:r>
            <w:proofErr w:type="gramStart"/>
            <w:r w:rsidRPr="004936DB">
              <w:rPr>
                <w:rFonts w:ascii="Times New Roman" w:eastAsia="Times New Roman" w:hAnsi="Times New Roman" w:cs="Times New Roman"/>
                <w:color w:val="000000"/>
                <w:sz w:val="24"/>
                <w:szCs w:val="24"/>
              </w:rPr>
              <w:t>  along</w:t>
            </w:r>
            <w:proofErr w:type="gramEnd"/>
            <w:r w:rsidRPr="004936DB">
              <w:rPr>
                <w:rFonts w:ascii="Times New Roman" w:eastAsia="Times New Roman" w:hAnsi="Times New Roman" w:cs="Times New Roman"/>
                <w:color w:val="000000"/>
                <w:sz w:val="24"/>
                <w:szCs w:val="24"/>
              </w:rPr>
              <w:t xml:space="preserve"> with the return of income on the very next day. CBDT, by a non-speaking order, rejected the request of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for </w:t>
            </w:r>
            <w:proofErr w:type="spellStart"/>
            <w:r w:rsidRPr="004936DB">
              <w:rPr>
                <w:rFonts w:ascii="Times New Roman" w:eastAsia="Times New Roman" w:hAnsi="Times New Roman" w:cs="Times New Roman"/>
                <w:color w:val="000000"/>
                <w:sz w:val="24"/>
                <w:szCs w:val="24"/>
              </w:rPr>
              <w:t>condonation</w:t>
            </w:r>
            <w:proofErr w:type="spellEnd"/>
            <w:r w:rsidRPr="004936DB">
              <w:rPr>
                <w:rFonts w:ascii="Times New Roman" w:eastAsia="Times New Roman" w:hAnsi="Times New Roman" w:cs="Times New Roman"/>
                <w:color w:val="000000"/>
                <w:sz w:val="24"/>
                <w:szCs w:val="24"/>
              </w:rPr>
              <w:t xml:space="preserve"> of delay.</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23/28</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Asian Hotels Ltd. (2010) 323 ITR 0490 (Del.)</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Notional interest of 18% %- on interest free deposit received 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from the tenant in respect of a shop let out on rent CAN NOT </w:t>
            </w:r>
            <w:proofErr w:type="spellStart"/>
            <w:r w:rsidRPr="004936DB">
              <w:rPr>
                <w:rFonts w:ascii="Times New Roman" w:eastAsia="Times New Roman" w:hAnsi="Times New Roman" w:cs="Times New Roman"/>
                <w:color w:val="000000"/>
                <w:sz w:val="24"/>
                <w:szCs w:val="24"/>
              </w:rPr>
              <w:t>i</w:t>
            </w:r>
            <w:proofErr w:type="spellEnd"/>
            <w:r w:rsidRPr="004936DB">
              <w:rPr>
                <w:rFonts w:ascii="Times New Roman" w:eastAsia="Times New Roman" w:hAnsi="Times New Roman" w:cs="Times New Roman"/>
                <w:color w:val="000000"/>
                <w:sz w:val="24"/>
                <w:szCs w:val="24"/>
              </w:rPr>
              <w:t xml:space="preserve"> be brought to tax as “Income from house property”</w:t>
            </w:r>
            <w:proofErr w:type="gramStart"/>
            <w:r w:rsidRPr="004936DB">
              <w:rPr>
                <w:rFonts w:ascii="Times New Roman" w:eastAsia="Times New Roman" w:hAnsi="Times New Roman" w:cs="Times New Roman"/>
                <w:color w:val="000000"/>
                <w:sz w:val="24"/>
                <w:szCs w:val="24"/>
              </w:rPr>
              <w:t>  as</w:t>
            </w:r>
            <w:proofErr w:type="gramEnd"/>
            <w:r w:rsidRPr="004936DB">
              <w:rPr>
                <w:rFonts w:ascii="Times New Roman" w:eastAsia="Times New Roman" w:hAnsi="Times New Roman" w:cs="Times New Roman"/>
                <w:color w:val="000000"/>
                <w:sz w:val="24"/>
                <w:szCs w:val="24"/>
              </w:rPr>
              <w:t xml:space="preserve"> u/s 23(1)(a)   the annual letting value is  the possible rent that the property might fetch and not certainly the interest on  deposit  placed by the tenant with the landlord .</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It cannot be taxes</w:t>
            </w:r>
            <w:proofErr w:type="gramStart"/>
            <w:r w:rsidRPr="004936DB">
              <w:rPr>
                <w:rFonts w:ascii="Times New Roman" w:eastAsia="Times New Roman" w:hAnsi="Times New Roman" w:cs="Times New Roman"/>
                <w:color w:val="000000"/>
                <w:sz w:val="24"/>
                <w:szCs w:val="24"/>
              </w:rPr>
              <w:t>  as</w:t>
            </w:r>
            <w:proofErr w:type="gramEnd"/>
            <w:r w:rsidRPr="004936DB">
              <w:rPr>
                <w:rFonts w:ascii="Times New Roman" w:eastAsia="Times New Roman" w:hAnsi="Times New Roman" w:cs="Times New Roman"/>
                <w:color w:val="000000"/>
                <w:sz w:val="24"/>
                <w:szCs w:val="24"/>
              </w:rPr>
              <w:t> “Business income” as S 28(iv)  can be invoked only where the benefit or amenity or perquisite </w:t>
            </w:r>
            <w:r w:rsidRPr="004936DB">
              <w:rPr>
                <w:rFonts w:ascii="Times New Roman" w:eastAsia="Times New Roman" w:hAnsi="Times New Roman" w:cs="Times New Roman"/>
                <w:color w:val="000000"/>
                <w:sz w:val="24"/>
                <w:szCs w:val="24"/>
                <w:u w:val="single"/>
              </w:rPr>
              <w:t>is other than cash</w:t>
            </w:r>
            <w:r w:rsidRPr="004936DB">
              <w:rPr>
                <w:rFonts w:ascii="Times New Roman" w:eastAsia="Times New Roman" w:hAnsi="Times New Roman" w:cs="Times New Roman"/>
                <w:color w:val="000000"/>
                <w:sz w:val="24"/>
                <w:szCs w:val="24"/>
              </w:rPr>
              <w:t xml:space="preserve">. Since A.O. has determined the monetary value of the benefit stated to have accrued to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by adding a sum that constituted 18 per cent simple interest on the deposits 28(iv) is not also applicable.</w:t>
            </w:r>
          </w:p>
        </w:tc>
      </w:tr>
    </w:tbl>
    <w:p w:rsidR="004936DB" w:rsidRDefault="004936DB"/>
    <w:p w:rsidR="004936DB" w:rsidRDefault="004936DB"/>
    <w:p w:rsidR="004936DB" w:rsidRDefault="004936DB"/>
    <w:p w:rsidR="004936DB" w:rsidRDefault="004936DB"/>
    <w:p w:rsidR="004936DB" w:rsidRDefault="004936DB"/>
    <w:p w:rsidR="004936DB" w:rsidRDefault="004936DB"/>
    <w:p w:rsidR="004936DB" w:rsidRDefault="004936DB"/>
    <w:p w:rsidR="004936DB" w:rsidRDefault="004936DB"/>
    <w:p w:rsidR="004936DB" w:rsidRDefault="004936DB"/>
    <w:p w:rsidR="004936DB" w:rsidRDefault="004936DB"/>
    <w:p w:rsidR="004936DB" w:rsidRDefault="004936DB"/>
    <w:tbl>
      <w:tblPr>
        <w:tblW w:w="0" w:type="auto"/>
        <w:tblCellMar>
          <w:left w:w="0" w:type="dxa"/>
          <w:right w:w="0" w:type="dxa"/>
        </w:tblCellMar>
        <w:tblLook w:val="04A0"/>
      </w:tblPr>
      <w:tblGrid>
        <w:gridCol w:w="1376"/>
        <w:gridCol w:w="2303"/>
        <w:gridCol w:w="5897"/>
      </w:tblGrid>
      <w:tr w:rsidR="004936DB" w:rsidRPr="004936DB" w:rsidTr="004936DB">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50C</w:t>
            </w:r>
          </w:p>
        </w:tc>
        <w:tc>
          <w:tcPr>
            <w:tcW w:w="0" w:type="auto"/>
            <w:tcBorders>
              <w:top w:val="single" w:sz="8" w:space="0" w:color="000000"/>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Chandni</w:t>
            </w:r>
            <w:proofErr w:type="spellEnd"/>
            <w:r w:rsidRPr="004936DB">
              <w:rPr>
                <w:rFonts w:ascii="Times New Roman" w:eastAsia="Times New Roman" w:hAnsi="Times New Roman" w:cs="Times New Roman"/>
                <w:color w:val="000000"/>
                <w:sz w:val="24"/>
                <w:szCs w:val="24"/>
              </w:rPr>
              <w:t xml:space="preserve"> </w:t>
            </w:r>
            <w:proofErr w:type="spellStart"/>
            <w:r w:rsidRPr="004936DB">
              <w:rPr>
                <w:rFonts w:ascii="Times New Roman" w:eastAsia="Times New Roman" w:hAnsi="Times New Roman" w:cs="Times New Roman"/>
                <w:color w:val="000000"/>
                <w:sz w:val="24"/>
                <w:szCs w:val="24"/>
              </w:rPr>
              <w:t>Buchar</w:t>
            </w:r>
            <w:proofErr w:type="spellEnd"/>
            <w:r w:rsidRPr="004936DB">
              <w:rPr>
                <w:rFonts w:ascii="Times New Roman" w:eastAsia="Times New Roman" w:hAnsi="Times New Roman" w:cs="Times New Roman"/>
                <w:color w:val="000000"/>
                <w:sz w:val="24"/>
                <w:szCs w:val="24"/>
              </w:rPr>
              <w:t xml:space="preserve"> (2010) 323 ITR 0510 (Pun</w:t>
            </w:r>
            <w:proofErr w:type="gramStart"/>
            <w:r w:rsidRPr="004936DB">
              <w:rPr>
                <w:rFonts w:ascii="Times New Roman" w:eastAsia="Times New Roman" w:hAnsi="Times New Roman" w:cs="Times New Roman"/>
                <w:color w:val="000000"/>
                <w:sz w:val="24"/>
                <w:szCs w:val="24"/>
              </w:rPr>
              <w:t>.&amp;</w:t>
            </w:r>
            <w:proofErr w:type="gramEnd"/>
            <w:r w:rsidRPr="004936DB">
              <w:rPr>
                <w:rFonts w:ascii="Times New Roman" w:eastAsia="Times New Roman" w:hAnsi="Times New Roman" w:cs="Times New Roman"/>
                <w:color w:val="000000"/>
                <w:sz w:val="24"/>
                <w:szCs w:val="24"/>
              </w:rPr>
              <w:t xml:space="preserve"> </w:t>
            </w:r>
            <w:proofErr w:type="spellStart"/>
            <w:r w:rsidRPr="004936DB">
              <w:rPr>
                <w:rFonts w:ascii="Times New Roman" w:eastAsia="Times New Roman" w:hAnsi="Times New Roman" w:cs="Times New Roman"/>
                <w:color w:val="000000"/>
                <w:sz w:val="24"/>
                <w:szCs w:val="24"/>
              </w:rPr>
              <w:t>Har</w:t>
            </w:r>
            <w:proofErr w:type="spellEnd"/>
            <w:r w:rsidRPr="004936DB">
              <w:rPr>
                <w:rFonts w:ascii="Times New Roman" w:eastAsia="Times New Roman" w:hAnsi="Times New Roman" w:cs="Times New Roman"/>
                <w:color w:val="000000"/>
                <w:sz w:val="24"/>
                <w:szCs w:val="24"/>
              </w:rPr>
              <w:t>.)</w:t>
            </w:r>
          </w:p>
        </w:tc>
        <w:tc>
          <w:tcPr>
            <w:tcW w:w="0" w:type="auto"/>
            <w:tcBorders>
              <w:top w:val="single" w:sz="8" w:space="0" w:color="000000"/>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Valuation done by any authority of the State Government for the purpose of payment of stamp duty in respect of land or building be taken as actual sale consideration received by the purchaser is not binding unless the A.O.  </w:t>
            </w:r>
            <w:proofErr w:type="gramStart"/>
            <w:r w:rsidRPr="004936DB">
              <w:rPr>
                <w:rFonts w:ascii="Times New Roman" w:eastAsia="Times New Roman" w:hAnsi="Times New Roman" w:cs="Times New Roman"/>
                <w:color w:val="000000"/>
                <w:sz w:val="24"/>
                <w:szCs w:val="24"/>
              </w:rPr>
              <w:t>has</w:t>
            </w:r>
            <w:proofErr w:type="gramEnd"/>
            <w:r w:rsidRPr="004936DB">
              <w:rPr>
                <w:rFonts w:ascii="Times New Roman" w:eastAsia="Times New Roman" w:hAnsi="Times New Roman" w:cs="Times New Roman"/>
                <w:color w:val="000000"/>
                <w:sz w:val="24"/>
                <w:szCs w:val="24"/>
              </w:rPr>
              <w:t xml:space="preserve"> evidence that the  enhanced consideration has passed between the parties.</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FF0000"/>
                <w:sz w:val="24"/>
                <w:szCs w:val="24"/>
              </w:rPr>
              <w:t>Author’s note: The view of P&amp;H High Court seemingly on the lines of an old Supreme Court decision in KP Varghese‘s is directly in contrast with the Decision of Bombay High Court in Bhatia</w:t>
            </w:r>
            <w:proofErr w:type="gramStart"/>
            <w:r w:rsidRPr="004936DB">
              <w:rPr>
                <w:rFonts w:ascii="Times New Roman" w:eastAsia="Times New Roman" w:hAnsi="Times New Roman" w:cs="Times New Roman"/>
                <w:color w:val="FF0000"/>
                <w:sz w:val="24"/>
                <w:szCs w:val="24"/>
              </w:rPr>
              <w:t>  CHS</w:t>
            </w:r>
            <w:proofErr w:type="gramEnd"/>
            <w:r w:rsidRPr="004936DB">
              <w:rPr>
                <w:rFonts w:ascii="Times New Roman" w:eastAsia="Times New Roman" w:hAnsi="Times New Roman" w:cs="Times New Roman"/>
                <w:color w:val="FF0000"/>
                <w:sz w:val="24"/>
                <w:szCs w:val="24"/>
              </w:rPr>
              <w:t xml:space="preserve"> , which held that passing of actual consideration  is not at all necessary as S 50C deals with only with the method  of determination of CG and is binding. </w:t>
            </w:r>
            <w:r w:rsidRPr="004936DB">
              <w:rPr>
                <w:rFonts w:ascii="Times New Roman" w:eastAsia="Times New Roman" w:hAnsi="Times New Roman" w:cs="Times New Roman"/>
                <w:color w:val="000000"/>
                <w:sz w:val="24"/>
                <w:szCs w:val="24"/>
              </w:rPr>
              <w:t> </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147</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Aventis </w:t>
            </w:r>
            <w:proofErr w:type="spellStart"/>
            <w:r w:rsidRPr="004936DB">
              <w:rPr>
                <w:rFonts w:ascii="Times New Roman" w:eastAsia="Times New Roman" w:hAnsi="Times New Roman" w:cs="Times New Roman"/>
                <w:color w:val="000000"/>
                <w:sz w:val="24"/>
                <w:szCs w:val="24"/>
              </w:rPr>
              <w:t>Pharma</w:t>
            </w:r>
            <w:proofErr w:type="spellEnd"/>
            <w:r w:rsidRPr="004936DB">
              <w:rPr>
                <w:rFonts w:ascii="Times New Roman" w:eastAsia="Times New Roman" w:hAnsi="Times New Roman" w:cs="Times New Roman"/>
                <w:color w:val="000000"/>
                <w:sz w:val="24"/>
                <w:szCs w:val="24"/>
              </w:rPr>
              <w:t xml:space="preserve"> Ltd. v. ACIT (2010) 323 ITR 0570 (</w:t>
            </w:r>
            <w:proofErr w:type="spellStart"/>
            <w:r w:rsidRPr="004936DB">
              <w:rPr>
                <w:rFonts w:ascii="Times New Roman" w:eastAsia="Times New Roman" w:hAnsi="Times New Roman" w:cs="Times New Roman"/>
                <w:color w:val="000000"/>
                <w:sz w:val="24"/>
                <w:szCs w:val="24"/>
              </w:rPr>
              <w:t>Bom</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A.O. </w:t>
            </w:r>
            <w:proofErr w:type="spellStart"/>
            <w:r w:rsidRPr="004936DB">
              <w:rPr>
                <w:rFonts w:ascii="Times New Roman" w:eastAsia="Times New Roman" w:hAnsi="Times New Roman" w:cs="Times New Roman"/>
                <w:color w:val="000000"/>
                <w:sz w:val="24"/>
                <w:szCs w:val="24"/>
                <w:u w:val="single"/>
              </w:rPr>
              <w:t>can not</w:t>
            </w:r>
            <w:proofErr w:type="spellEnd"/>
            <w:r w:rsidRPr="004936DB">
              <w:rPr>
                <w:rFonts w:ascii="Times New Roman" w:eastAsia="Times New Roman" w:hAnsi="Times New Roman" w:cs="Times New Roman"/>
                <w:color w:val="000000"/>
                <w:sz w:val="24"/>
                <w:szCs w:val="24"/>
              </w:rPr>
              <w:t> reopen an assessment on the basis of merely a change of opinion  unless there was tangible material to hold that income had escaped assessment within the meaning of S 147 and the reasons recorded for reopening the assessment constituted a mere change of opinion.</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271(1)(c)</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CIT v. Vijay Kumar Jain (2010) 325 ITR 0378 (Chhattisgarh)</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Reliance </w:t>
            </w:r>
            <w:proofErr w:type="spellStart"/>
            <w:r w:rsidRPr="004936DB">
              <w:rPr>
                <w:rFonts w:ascii="Times New Roman" w:eastAsia="Times New Roman" w:hAnsi="Times New Roman" w:cs="Times New Roman"/>
                <w:color w:val="000000"/>
                <w:sz w:val="24"/>
                <w:szCs w:val="24"/>
              </w:rPr>
              <w:t>Petroproducts</w:t>
            </w:r>
            <w:proofErr w:type="spellEnd"/>
            <w:r w:rsidRPr="004936DB">
              <w:rPr>
                <w:rFonts w:ascii="Times New Roman" w:eastAsia="Times New Roman" w:hAnsi="Times New Roman" w:cs="Times New Roman"/>
                <w:color w:val="000000"/>
                <w:sz w:val="24"/>
                <w:szCs w:val="24"/>
              </w:rPr>
              <w:t xml:space="preserve"> P. Ltd. (2010) 322 ITR 158[SC] followed  </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Penalty under section 271(1</w:t>
            </w:r>
            <w:proofErr w:type="gramStart"/>
            <w:r w:rsidRPr="004936DB">
              <w:rPr>
                <w:rFonts w:ascii="Times New Roman" w:eastAsia="Times New Roman" w:hAnsi="Times New Roman" w:cs="Times New Roman"/>
                <w:color w:val="000000"/>
                <w:sz w:val="24"/>
                <w:szCs w:val="24"/>
              </w:rPr>
              <w:t>)(</w:t>
            </w:r>
            <w:proofErr w:type="gramEnd"/>
            <w:r w:rsidRPr="004936DB">
              <w:rPr>
                <w:rFonts w:ascii="Times New Roman" w:eastAsia="Times New Roman" w:hAnsi="Times New Roman" w:cs="Times New Roman"/>
                <w:color w:val="000000"/>
                <w:sz w:val="24"/>
                <w:szCs w:val="24"/>
              </w:rPr>
              <w:t>c) be imposed where the assessment is made by estimating the net profit at a higher percentage u/s  145, consequent to rejection of book results. Since particulars</w:t>
            </w:r>
            <w:proofErr w:type="gramStart"/>
            <w:r w:rsidRPr="004936DB">
              <w:rPr>
                <w:rFonts w:ascii="Times New Roman" w:eastAsia="Times New Roman" w:hAnsi="Times New Roman" w:cs="Times New Roman"/>
                <w:color w:val="000000"/>
                <w:sz w:val="24"/>
                <w:szCs w:val="24"/>
              </w:rPr>
              <w:t>  of</w:t>
            </w:r>
            <w:proofErr w:type="gramEnd"/>
            <w:r w:rsidRPr="004936DB">
              <w:rPr>
                <w:rFonts w:ascii="Times New Roman" w:eastAsia="Times New Roman" w:hAnsi="Times New Roman" w:cs="Times New Roman"/>
                <w:color w:val="000000"/>
                <w:sz w:val="24"/>
                <w:szCs w:val="24"/>
              </w:rPr>
              <w:t xml:space="preserve"> receipts furnished 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had not been found inaccurate , it was also not a case that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concealed any income in his return and penalty could not be imposed.</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49(1)(iii)(b)</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and 2(42A</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P. P. </w:t>
            </w:r>
            <w:proofErr w:type="spellStart"/>
            <w:r w:rsidRPr="004936DB">
              <w:rPr>
                <w:rFonts w:ascii="Times New Roman" w:eastAsia="Times New Roman" w:hAnsi="Times New Roman" w:cs="Times New Roman"/>
                <w:color w:val="000000"/>
                <w:sz w:val="24"/>
                <w:szCs w:val="24"/>
              </w:rPr>
              <w:t>Menon</w:t>
            </w:r>
            <w:proofErr w:type="spellEnd"/>
            <w:r w:rsidRPr="004936DB">
              <w:rPr>
                <w:rFonts w:ascii="Times New Roman" w:eastAsia="Times New Roman" w:hAnsi="Times New Roman" w:cs="Times New Roman"/>
                <w:color w:val="000000"/>
                <w:sz w:val="24"/>
                <w:szCs w:val="24"/>
              </w:rPr>
              <w:t xml:space="preserve"> v. CIT (2010) 325 ITR 122 (Ker.)</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took over capital assets i.e.  a hospital building  and land on dissolution of firm  on 15/04/2001  where he was a partner  and sole the same within three days of dissolution  ,  he could not take the benefit  of the period of holding and   cost of acquisition of assets by the previous owner </w:t>
            </w:r>
            <w:proofErr w:type="spellStart"/>
            <w:r w:rsidRPr="004936DB">
              <w:rPr>
                <w:rFonts w:ascii="Times New Roman" w:eastAsia="Times New Roman" w:hAnsi="Times New Roman" w:cs="Times New Roman"/>
                <w:color w:val="000000"/>
                <w:sz w:val="24"/>
                <w:szCs w:val="24"/>
              </w:rPr>
              <w:t>viz</w:t>
            </w:r>
            <w:proofErr w:type="spellEnd"/>
            <w:r w:rsidRPr="004936DB">
              <w:rPr>
                <w:rFonts w:ascii="Times New Roman" w:eastAsia="Times New Roman" w:hAnsi="Times New Roman" w:cs="Times New Roman"/>
                <w:color w:val="000000"/>
                <w:sz w:val="24"/>
                <w:szCs w:val="24"/>
              </w:rPr>
              <w:t xml:space="preserve"> the firm  and the gains would be short term capital gain .</w:t>
            </w:r>
          </w:p>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N.B: the benefit was available  under old law applicable on dissolution of the firm prior to  April 1, 1987</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37</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Sagar</w:t>
            </w:r>
            <w:proofErr w:type="spellEnd"/>
            <w:r w:rsidRPr="004936DB">
              <w:rPr>
                <w:rFonts w:ascii="Times New Roman" w:eastAsia="Times New Roman" w:hAnsi="Times New Roman" w:cs="Times New Roman"/>
                <w:color w:val="000000"/>
                <w:sz w:val="24"/>
                <w:szCs w:val="24"/>
              </w:rPr>
              <w:t xml:space="preserve"> Talkies (2010) 325 ITR 133 (</w:t>
            </w:r>
            <w:proofErr w:type="spellStart"/>
            <w:r w:rsidRPr="004936DB">
              <w:rPr>
                <w:rFonts w:ascii="Times New Roman" w:eastAsia="Times New Roman" w:hAnsi="Times New Roman" w:cs="Times New Roman"/>
                <w:color w:val="000000"/>
                <w:sz w:val="24"/>
                <w:szCs w:val="24"/>
              </w:rPr>
              <w:t>Karn</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Amount spent on</w:t>
            </w:r>
            <w:proofErr w:type="gramStart"/>
            <w:r w:rsidRPr="004936DB">
              <w:rPr>
                <w:rFonts w:ascii="Times New Roman" w:eastAsia="Times New Roman" w:hAnsi="Times New Roman" w:cs="Times New Roman"/>
                <w:color w:val="000000"/>
                <w:sz w:val="24"/>
                <w:szCs w:val="24"/>
              </w:rPr>
              <w:t>  replacing</w:t>
            </w:r>
            <w:proofErr w:type="gramEnd"/>
            <w:r w:rsidRPr="004936DB">
              <w:rPr>
                <w:rFonts w:ascii="Times New Roman" w:eastAsia="Times New Roman" w:hAnsi="Times New Roman" w:cs="Times New Roman"/>
                <w:color w:val="000000"/>
                <w:sz w:val="24"/>
                <w:szCs w:val="24"/>
              </w:rPr>
              <w:t xml:space="preserve"> the old mono sound system in its cinema theatre with a new Dolby stereo system REVENUE as it has not increase income in anyway but only results in better provision of amenities to customers.</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jc w:val="center"/>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45</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Sri </w:t>
            </w:r>
            <w:proofErr w:type="spellStart"/>
            <w:r w:rsidRPr="004936DB">
              <w:rPr>
                <w:rFonts w:ascii="Times New Roman" w:eastAsia="Times New Roman" w:hAnsi="Times New Roman" w:cs="Times New Roman"/>
                <w:color w:val="000000"/>
                <w:sz w:val="24"/>
                <w:szCs w:val="24"/>
              </w:rPr>
              <w:t>Hariram</w:t>
            </w:r>
            <w:proofErr w:type="spellEnd"/>
            <w:r w:rsidRPr="004936DB">
              <w:rPr>
                <w:rFonts w:ascii="Times New Roman" w:eastAsia="Times New Roman" w:hAnsi="Times New Roman" w:cs="Times New Roman"/>
                <w:color w:val="000000"/>
                <w:sz w:val="24"/>
                <w:szCs w:val="24"/>
              </w:rPr>
              <w:t xml:space="preserve"> Hotels P. LTD (2010) 325 ITR 136 (</w:t>
            </w:r>
            <w:proofErr w:type="spellStart"/>
            <w:r w:rsidRPr="004936DB">
              <w:rPr>
                <w:rFonts w:ascii="Times New Roman" w:eastAsia="Times New Roman" w:hAnsi="Times New Roman" w:cs="Times New Roman"/>
                <w:color w:val="000000"/>
                <w:sz w:val="24"/>
                <w:szCs w:val="24"/>
              </w:rPr>
              <w:t>Karn</w:t>
            </w:r>
            <w:proofErr w:type="spellEnd"/>
            <w:r w:rsidRPr="004936DB">
              <w:rPr>
                <w:rFonts w:ascii="Times New Roman" w:eastAsia="Times New Roman" w:hAnsi="Times New Roman" w:cs="Times New Roman"/>
                <w:color w:val="000000"/>
                <w:sz w:val="24"/>
                <w:szCs w:val="24"/>
              </w:rPr>
              <w:t>.)</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Liability for interest begins to accrue on taking of the loan and not on the date of the resolution of </w:t>
            </w:r>
            <w:proofErr w:type="spellStart"/>
            <w:r w:rsidRPr="004936DB">
              <w:rPr>
                <w:rFonts w:ascii="Times New Roman" w:eastAsia="Times New Roman" w:hAnsi="Times New Roman" w:cs="Times New Roman"/>
                <w:color w:val="000000"/>
                <w:sz w:val="24"/>
                <w:szCs w:val="24"/>
              </w:rPr>
              <w:t>Bod</w:t>
            </w:r>
            <w:proofErr w:type="spellEnd"/>
            <w:r w:rsidRPr="004936DB">
              <w:rPr>
                <w:rFonts w:ascii="Times New Roman" w:eastAsia="Times New Roman" w:hAnsi="Times New Roman" w:cs="Times New Roman"/>
                <w:color w:val="000000"/>
                <w:sz w:val="24"/>
                <w:szCs w:val="24"/>
              </w:rPr>
              <w:t xml:space="preserve"> to pay interest on loan to </w:t>
            </w:r>
            <w:proofErr w:type="gramStart"/>
            <w:r w:rsidRPr="004936DB">
              <w:rPr>
                <w:rFonts w:ascii="Times New Roman" w:eastAsia="Times New Roman" w:hAnsi="Times New Roman" w:cs="Times New Roman"/>
                <w:color w:val="000000"/>
                <w:sz w:val="24"/>
                <w:szCs w:val="24"/>
              </w:rPr>
              <w:t>directors .</w:t>
            </w:r>
            <w:proofErr w:type="gramEnd"/>
            <w:r w:rsidRPr="004936DB">
              <w:rPr>
                <w:rFonts w:ascii="Times New Roman" w:eastAsia="Times New Roman" w:hAnsi="Times New Roman" w:cs="Times New Roman"/>
                <w:color w:val="000000"/>
                <w:sz w:val="24"/>
                <w:szCs w:val="24"/>
              </w:rPr>
              <w:t xml:space="preserve"> Hence , interest payable on loan taken from directors and </w:t>
            </w:r>
            <w:proofErr w:type="spellStart"/>
            <w:r w:rsidRPr="004936DB">
              <w:rPr>
                <w:rFonts w:ascii="Times New Roman" w:eastAsia="Times New Roman" w:hAnsi="Times New Roman" w:cs="Times New Roman"/>
                <w:color w:val="000000"/>
                <w:sz w:val="24"/>
                <w:szCs w:val="24"/>
              </w:rPr>
              <w:t>utilised</w:t>
            </w:r>
            <w:proofErr w:type="spellEnd"/>
            <w:r w:rsidRPr="004936DB">
              <w:rPr>
                <w:rFonts w:ascii="Times New Roman" w:eastAsia="Times New Roman" w:hAnsi="Times New Roman" w:cs="Times New Roman"/>
                <w:color w:val="000000"/>
                <w:sz w:val="24"/>
                <w:szCs w:val="24"/>
              </w:rPr>
              <w:t xml:space="preserve">  for  purchase of an asset </w:t>
            </w:r>
            <w:r w:rsidRPr="004936DB">
              <w:rPr>
                <w:rFonts w:ascii="Times New Roman" w:eastAsia="Times New Roman" w:hAnsi="Times New Roman" w:cs="Times New Roman"/>
                <w:color w:val="000000"/>
                <w:sz w:val="24"/>
                <w:szCs w:val="24"/>
              </w:rPr>
              <w:lastRenderedPageBreak/>
              <w:t>be </w:t>
            </w:r>
            <w:r w:rsidRPr="004936DB">
              <w:rPr>
                <w:rFonts w:ascii="Times New Roman" w:eastAsia="Times New Roman" w:hAnsi="Times New Roman" w:cs="Times New Roman"/>
                <w:color w:val="000000"/>
                <w:sz w:val="24"/>
                <w:szCs w:val="24"/>
                <w:u w:val="single"/>
              </w:rPr>
              <w:t>added </w:t>
            </w:r>
            <w:r w:rsidRPr="004936DB">
              <w:rPr>
                <w:rFonts w:ascii="Times New Roman" w:eastAsia="Times New Roman" w:hAnsi="Times New Roman" w:cs="Times New Roman"/>
                <w:color w:val="000000"/>
                <w:sz w:val="24"/>
                <w:szCs w:val="24"/>
              </w:rPr>
              <w:t>to the cost of acquisition of asset for computation of capital gains  even if resolution to pay interest has been passed after the date of sale</w:t>
            </w:r>
          </w:p>
        </w:tc>
      </w:tr>
    </w:tbl>
    <w:p w:rsidR="004936DB" w:rsidRDefault="004936DB"/>
    <w:p w:rsidR="004936DB" w:rsidRDefault="004936DB"/>
    <w:tbl>
      <w:tblPr>
        <w:tblW w:w="0" w:type="auto"/>
        <w:tblCellMar>
          <w:left w:w="0" w:type="dxa"/>
          <w:right w:w="0" w:type="dxa"/>
        </w:tblCellMar>
        <w:tblLook w:val="04A0"/>
      </w:tblPr>
      <w:tblGrid>
        <w:gridCol w:w="1090"/>
        <w:gridCol w:w="2159"/>
        <w:gridCol w:w="6327"/>
      </w:tblGrid>
      <w:tr w:rsidR="004936DB" w:rsidRPr="004936DB" w:rsidTr="004936DB">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195[1]</w:t>
            </w:r>
          </w:p>
        </w:tc>
        <w:tc>
          <w:tcPr>
            <w:tcW w:w="0" w:type="auto"/>
            <w:tcBorders>
              <w:top w:val="single" w:sz="8" w:space="0" w:color="000000"/>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GE India technology Centre P. Ltd. v. CIT and Another (2010) 327 ITR 456 (SC)</w:t>
            </w:r>
          </w:p>
        </w:tc>
        <w:tc>
          <w:tcPr>
            <w:tcW w:w="0" w:type="auto"/>
            <w:tcBorders>
              <w:top w:val="single" w:sz="8" w:space="0" w:color="000000"/>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The term “chargeable’</w:t>
            </w:r>
            <w:proofErr w:type="gramStart"/>
            <w:r w:rsidRPr="004936DB">
              <w:rPr>
                <w:rFonts w:ascii="Times New Roman" w:eastAsia="Times New Roman" w:hAnsi="Times New Roman" w:cs="Times New Roman"/>
                <w:color w:val="000000"/>
                <w:sz w:val="24"/>
                <w:szCs w:val="24"/>
              </w:rPr>
              <w:t>  implies</w:t>
            </w:r>
            <w:proofErr w:type="gramEnd"/>
            <w:r w:rsidRPr="004936DB">
              <w:rPr>
                <w:rFonts w:ascii="Times New Roman" w:eastAsia="Times New Roman" w:hAnsi="Times New Roman" w:cs="Times New Roman"/>
                <w:color w:val="000000"/>
                <w:sz w:val="24"/>
                <w:szCs w:val="24"/>
              </w:rPr>
              <w:t xml:space="preserve"> that  TDS is applicable ONLY on a trading receipt, wholly or partly  liable to tax in India. If the tax is not so assessable, there will be no liability for </w:t>
            </w:r>
            <w:proofErr w:type="gramStart"/>
            <w:r w:rsidRPr="004936DB">
              <w:rPr>
                <w:rFonts w:ascii="Times New Roman" w:eastAsia="Times New Roman" w:hAnsi="Times New Roman" w:cs="Times New Roman"/>
                <w:color w:val="000000"/>
                <w:sz w:val="24"/>
                <w:szCs w:val="24"/>
              </w:rPr>
              <w:t>TDS .</w:t>
            </w:r>
            <w:proofErr w:type="gramEnd"/>
            <w:r w:rsidRPr="004936DB">
              <w:rPr>
                <w:rFonts w:ascii="Times New Roman" w:eastAsia="Times New Roman" w:hAnsi="Times New Roman" w:cs="Times New Roman"/>
                <w:color w:val="000000"/>
                <w:sz w:val="24"/>
                <w:szCs w:val="24"/>
              </w:rPr>
              <w:t xml:space="preserve"> The court remitted  the case to determine  whether or not the amount paid to foreign software suppliers constituted “royalty” deemed to accrue or arise in India and to finally decide liability for TDS but interest paid to a Non Resident which was not chargeable to tax NOT liable for  TDS</w:t>
            </w:r>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260A(7),</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Deepak Kumar </w:t>
            </w:r>
            <w:proofErr w:type="spellStart"/>
            <w:r w:rsidRPr="004936DB">
              <w:rPr>
                <w:rFonts w:ascii="Times New Roman" w:eastAsia="Times New Roman" w:hAnsi="Times New Roman" w:cs="Times New Roman"/>
                <w:color w:val="000000"/>
                <w:sz w:val="24"/>
                <w:szCs w:val="24"/>
              </w:rPr>
              <w:t>Garg</w:t>
            </w:r>
            <w:proofErr w:type="spellEnd"/>
            <w:r w:rsidRPr="004936DB">
              <w:rPr>
                <w:rFonts w:ascii="Times New Roman" w:eastAsia="Times New Roman" w:hAnsi="Times New Roman" w:cs="Times New Roman"/>
                <w:color w:val="000000"/>
                <w:sz w:val="24"/>
                <w:szCs w:val="24"/>
              </w:rPr>
              <w:t xml:space="preserve"> v. CIT (2010) 327 ITR 448 (MP)</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High Court has NO inherent power to review under I.T.  Act, 1961 to review an earlier order passed on merits as there is no express or implied provision conferring such power unlike the extraordinary powers under Art 226. Restoration of appeal does not mean reconsideration of an old order </w:t>
            </w:r>
            <w:proofErr w:type="gramStart"/>
            <w:r w:rsidRPr="004936DB">
              <w:rPr>
                <w:rFonts w:ascii="Times New Roman" w:eastAsia="Times New Roman" w:hAnsi="Times New Roman" w:cs="Times New Roman"/>
                <w:color w:val="000000"/>
                <w:sz w:val="24"/>
                <w:szCs w:val="24"/>
              </w:rPr>
              <w:t>passed .</w:t>
            </w:r>
            <w:proofErr w:type="gramEnd"/>
          </w:p>
        </w:tc>
      </w:tr>
      <w:tr w:rsidR="004936DB" w:rsidRPr="004936DB" w:rsidTr="004936DB">
        <w:tc>
          <w:tcPr>
            <w:tcW w:w="0" w:type="auto"/>
            <w:tcBorders>
              <w:top w:val="outset" w:sz="6" w:space="0" w:color="D4D0C8"/>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54B</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 xml:space="preserve">CIT v. </w:t>
            </w:r>
            <w:proofErr w:type="spellStart"/>
            <w:r w:rsidRPr="004936DB">
              <w:rPr>
                <w:rFonts w:ascii="Times New Roman" w:eastAsia="Times New Roman" w:hAnsi="Times New Roman" w:cs="Times New Roman"/>
                <w:color w:val="000000"/>
                <w:sz w:val="24"/>
                <w:szCs w:val="24"/>
              </w:rPr>
              <w:t>Gurnam</w:t>
            </w:r>
            <w:proofErr w:type="spellEnd"/>
            <w:r w:rsidRPr="004936DB">
              <w:rPr>
                <w:rFonts w:ascii="Times New Roman" w:eastAsia="Times New Roman" w:hAnsi="Times New Roman" w:cs="Times New Roman"/>
                <w:color w:val="000000"/>
                <w:sz w:val="24"/>
                <w:szCs w:val="24"/>
              </w:rPr>
              <w:t xml:space="preserve"> Singh (2010) 327 ITR 278 (P&amp;H)</w:t>
            </w:r>
          </w:p>
        </w:tc>
        <w:tc>
          <w:tcPr>
            <w:tcW w:w="0" w:type="auto"/>
            <w:tcBorders>
              <w:top w:val="outset" w:sz="6" w:space="0" w:color="D4D0C8"/>
              <w:left w:val="outset" w:sz="6" w:space="0" w:color="D4D0C8"/>
              <w:bottom w:val="single" w:sz="8" w:space="0" w:color="000000"/>
              <w:right w:val="single" w:sz="8" w:space="0" w:color="000000"/>
            </w:tcBorders>
            <w:shd w:val="clear" w:color="auto" w:fill="auto"/>
            <w:tcMar>
              <w:top w:w="0" w:type="dxa"/>
              <w:left w:w="108" w:type="dxa"/>
              <w:bottom w:w="0" w:type="dxa"/>
              <w:right w:w="108" w:type="dxa"/>
            </w:tcMar>
            <w:hideMark/>
          </w:tcPr>
          <w:p w:rsidR="004936DB" w:rsidRPr="004936DB" w:rsidRDefault="004936DB" w:rsidP="004936DB">
            <w:pPr>
              <w:spacing w:after="0" w:line="240" w:lineRule="auto"/>
              <w:rPr>
                <w:rFonts w:ascii="Times New Roman" w:eastAsia="Times New Roman" w:hAnsi="Times New Roman" w:cs="Times New Roman"/>
                <w:sz w:val="24"/>
                <w:szCs w:val="24"/>
              </w:rPr>
            </w:pPr>
            <w:r w:rsidRPr="004936DB">
              <w:rPr>
                <w:rFonts w:ascii="Times New Roman" w:eastAsia="Times New Roman" w:hAnsi="Times New Roman" w:cs="Times New Roman"/>
                <w:color w:val="000000"/>
                <w:sz w:val="24"/>
                <w:szCs w:val="24"/>
              </w:rPr>
              <w:t>Exemption u/s 54 ALLOWED</w:t>
            </w:r>
            <w:proofErr w:type="gramStart"/>
            <w:r w:rsidRPr="004936DB">
              <w:rPr>
                <w:rFonts w:ascii="Times New Roman" w:eastAsia="Times New Roman" w:hAnsi="Times New Roman" w:cs="Times New Roman"/>
                <w:color w:val="000000"/>
                <w:sz w:val="24"/>
                <w:szCs w:val="24"/>
              </w:rPr>
              <w:t>  when</w:t>
            </w:r>
            <w:proofErr w:type="gramEnd"/>
            <w:r w:rsidRPr="004936DB">
              <w:rPr>
                <w:rFonts w:ascii="Times New Roman" w:eastAsia="Times New Roman" w:hAnsi="Times New Roman" w:cs="Times New Roman"/>
                <w:color w:val="000000"/>
                <w:sz w:val="24"/>
                <w:szCs w:val="24"/>
              </w:rPr>
              <w:t xml:space="preserve">  new agricultural land </w:t>
            </w:r>
            <w:proofErr w:type="spellStart"/>
            <w:r w:rsidRPr="004936DB">
              <w:rPr>
                <w:rFonts w:ascii="Times New Roman" w:eastAsia="Times New Roman" w:hAnsi="Times New Roman" w:cs="Times New Roman"/>
                <w:color w:val="000000"/>
                <w:sz w:val="24"/>
                <w:szCs w:val="24"/>
              </w:rPr>
              <w:t>purchased</w:t>
            </w:r>
            <w:r w:rsidRPr="004936DB">
              <w:rPr>
                <w:rFonts w:ascii="Times New Roman" w:eastAsia="Times New Roman" w:hAnsi="Times New Roman" w:cs="Times New Roman"/>
                <w:color w:val="000000"/>
                <w:sz w:val="24"/>
                <w:szCs w:val="24"/>
                <w:u w:val="single"/>
              </w:rPr>
              <w:t>along</w:t>
            </w:r>
            <w:proofErr w:type="spellEnd"/>
            <w:r w:rsidRPr="004936DB">
              <w:rPr>
                <w:rFonts w:ascii="Times New Roman" w:eastAsia="Times New Roman" w:hAnsi="Times New Roman" w:cs="Times New Roman"/>
                <w:color w:val="000000"/>
                <w:sz w:val="24"/>
                <w:szCs w:val="24"/>
                <w:u w:val="single"/>
              </w:rPr>
              <w:t xml:space="preserve"> with the son</w:t>
            </w:r>
            <w:r w:rsidRPr="004936DB">
              <w:rPr>
                <w:rFonts w:ascii="Times New Roman" w:eastAsia="Times New Roman" w:hAnsi="Times New Roman" w:cs="Times New Roman"/>
                <w:color w:val="000000"/>
                <w:sz w:val="24"/>
                <w:szCs w:val="24"/>
              </w:rPr>
              <w:t xml:space="preserve"> of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out of the sale  proceeds of old land  transferred by the </w:t>
            </w:r>
            <w:r w:rsidRPr="004936DB">
              <w:rPr>
                <w:rFonts w:ascii="Times New Roman" w:eastAsia="Times New Roman" w:hAnsi="Times New Roman" w:cs="Times New Roman"/>
                <w:color w:val="000000"/>
                <w:sz w:val="24"/>
                <w:szCs w:val="24"/>
                <w:u w:val="single"/>
              </w:rPr>
              <w:t>father</w:t>
            </w:r>
            <w:r w:rsidRPr="004936DB">
              <w:rPr>
                <w:rFonts w:ascii="Times New Roman" w:eastAsia="Times New Roman" w:hAnsi="Times New Roman" w:cs="Times New Roman"/>
                <w:color w:val="000000"/>
                <w:sz w:val="24"/>
                <w:szCs w:val="24"/>
              </w:rPr>
              <w:t xml:space="preserve"> held as substantial compliance of 54B even if the land is not wholly owned by the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and registration was done in son’s name Note : The Court </w:t>
            </w:r>
            <w:proofErr w:type="spellStart"/>
            <w:r w:rsidRPr="004936DB">
              <w:rPr>
                <w:rFonts w:ascii="Times New Roman" w:eastAsia="Times New Roman" w:hAnsi="Times New Roman" w:cs="Times New Roman"/>
                <w:color w:val="000000"/>
                <w:sz w:val="24"/>
                <w:szCs w:val="24"/>
              </w:rPr>
              <w:t>recognised</w:t>
            </w:r>
            <w:proofErr w:type="spellEnd"/>
            <w:r w:rsidRPr="004936DB">
              <w:rPr>
                <w:rFonts w:ascii="Times New Roman" w:eastAsia="Times New Roman" w:hAnsi="Times New Roman" w:cs="Times New Roman"/>
                <w:color w:val="000000"/>
                <w:sz w:val="24"/>
                <w:szCs w:val="24"/>
              </w:rPr>
              <w:t xml:space="preserve"> that the land BELONGED to </w:t>
            </w:r>
            <w:proofErr w:type="spellStart"/>
            <w:r w:rsidRPr="004936DB">
              <w:rPr>
                <w:rFonts w:ascii="Times New Roman" w:eastAsia="Times New Roman" w:hAnsi="Times New Roman" w:cs="Times New Roman"/>
                <w:color w:val="000000"/>
                <w:sz w:val="24"/>
                <w:szCs w:val="24"/>
              </w:rPr>
              <w:t>assessee</w:t>
            </w:r>
            <w:proofErr w:type="spellEnd"/>
            <w:r w:rsidRPr="004936DB">
              <w:rPr>
                <w:rFonts w:ascii="Times New Roman" w:eastAsia="Times New Roman" w:hAnsi="Times New Roman" w:cs="Times New Roman"/>
                <w:color w:val="000000"/>
                <w:sz w:val="24"/>
                <w:szCs w:val="24"/>
              </w:rPr>
              <w:t xml:space="preserve"> .</w:t>
            </w:r>
          </w:p>
        </w:tc>
      </w:tr>
    </w:tbl>
    <w:p w:rsidR="004936DB" w:rsidRPr="004936DB" w:rsidRDefault="004936DB" w:rsidP="004936DB">
      <w:pPr>
        <w:spacing w:line="300" w:lineRule="atLeast"/>
        <w:rPr>
          <w:rFonts w:ascii="Times New Roman" w:eastAsia="Times New Roman" w:hAnsi="Times New Roman" w:cs="Times New Roman"/>
          <w:sz w:val="24"/>
          <w:szCs w:val="24"/>
        </w:rPr>
      </w:pPr>
      <w:r w:rsidRPr="004936DB">
        <w:rPr>
          <w:rFonts w:ascii="Verdana" w:eastAsia="Times New Roman" w:hAnsi="Verdana" w:cs="Times New Roman"/>
          <w:color w:val="000000"/>
          <w:sz w:val="20"/>
          <w:szCs w:val="20"/>
        </w:rPr>
        <w:t> </w:t>
      </w:r>
    </w:p>
    <w:p w:rsidR="004936DB" w:rsidRPr="004936DB" w:rsidRDefault="004936DB" w:rsidP="004936DB">
      <w:pPr>
        <w:spacing w:line="300" w:lineRule="atLeast"/>
        <w:rPr>
          <w:rFonts w:ascii="Verdana" w:eastAsia="Times New Roman" w:hAnsi="Verdana" w:cs="Times New Roman"/>
          <w:color w:val="000000"/>
          <w:sz w:val="20"/>
          <w:szCs w:val="20"/>
        </w:rPr>
      </w:pPr>
      <w:r w:rsidRPr="004936DB">
        <w:rPr>
          <w:rFonts w:ascii="Verdana" w:eastAsia="Times New Roman" w:hAnsi="Verdana" w:cs="Times New Roman"/>
          <w:color w:val="000000"/>
          <w:sz w:val="20"/>
          <w:szCs w:val="20"/>
        </w:rPr>
        <w:t xml:space="preserve">NOTE THE </w:t>
      </w:r>
      <w:proofErr w:type="gramStart"/>
      <w:r w:rsidRPr="004936DB">
        <w:rPr>
          <w:rFonts w:ascii="Verdana" w:eastAsia="Times New Roman" w:hAnsi="Verdana" w:cs="Times New Roman"/>
          <w:color w:val="000000"/>
          <w:sz w:val="20"/>
          <w:szCs w:val="20"/>
        </w:rPr>
        <w:t>FOLLOWINGRULES  IN</w:t>
      </w:r>
      <w:proofErr w:type="gramEnd"/>
      <w:r w:rsidRPr="004936DB">
        <w:rPr>
          <w:rFonts w:ascii="Verdana" w:eastAsia="Times New Roman" w:hAnsi="Verdana" w:cs="Times New Roman"/>
          <w:color w:val="000000"/>
          <w:sz w:val="20"/>
          <w:szCs w:val="20"/>
        </w:rPr>
        <w:t xml:space="preserve"> CASE YOU DO NOT REMEMBER CITATIONS - NOTR</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r w:rsidRPr="004936DB">
        <w:rPr>
          <w:rFonts w:ascii="Times New Roman" w:eastAsia="Times New Roman" w:hAnsi="Times New Roman" w:cs="Times New Roman"/>
          <w:color w:val="000000"/>
          <w:sz w:val="24"/>
          <w:szCs w:val="24"/>
        </w:rPr>
        <w:t>No reopening allowed for change of opinion</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proofErr w:type="spellStart"/>
      <w:r w:rsidRPr="004936DB">
        <w:rPr>
          <w:rFonts w:ascii="Times New Roman" w:eastAsia="Times New Roman" w:hAnsi="Times New Roman" w:cs="Times New Roman"/>
          <w:color w:val="000000"/>
          <w:sz w:val="24"/>
          <w:szCs w:val="24"/>
        </w:rPr>
        <w:t>Itat</w:t>
      </w:r>
      <w:proofErr w:type="spellEnd"/>
      <w:r w:rsidRPr="004936DB">
        <w:rPr>
          <w:rFonts w:ascii="Times New Roman" w:eastAsia="Times New Roman" w:hAnsi="Times New Roman" w:cs="Times New Roman"/>
          <w:color w:val="000000"/>
          <w:sz w:val="24"/>
          <w:szCs w:val="24"/>
        </w:rPr>
        <w:t xml:space="preserve">/ </w:t>
      </w:r>
      <w:proofErr w:type="spellStart"/>
      <w:r w:rsidRPr="004936DB">
        <w:rPr>
          <w:rFonts w:ascii="Times New Roman" w:eastAsia="Times New Roman" w:hAnsi="Times New Roman" w:cs="Times New Roman"/>
          <w:color w:val="000000"/>
          <w:sz w:val="24"/>
          <w:szCs w:val="24"/>
        </w:rPr>
        <w:t>Highcourts</w:t>
      </w:r>
      <w:proofErr w:type="spellEnd"/>
      <w:r w:rsidRPr="004936DB">
        <w:rPr>
          <w:rFonts w:ascii="Times New Roman" w:eastAsia="Times New Roman" w:hAnsi="Times New Roman" w:cs="Times New Roman"/>
          <w:color w:val="000000"/>
          <w:sz w:val="18"/>
        </w:rPr>
        <w:t> also not allowed to change their orders</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r w:rsidRPr="004936DB">
        <w:rPr>
          <w:rFonts w:ascii="Times New Roman" w:eastAsia="Times New Roman" w:hAnsi="Times New Roman" w:cs="Times New Roman"/>
          <w:color w:val="000000"/>
          <w:sz w:val="24"/>
          <w:szCs w:val="24"/>
        </w:rPr>
        <w:t xml:space="preserve">14A greatly diluted if allocation is </w:t>
      </w:r>
      <w:proofErr w:type="spellStart"/>
      <w:proofErr w:type="gramStart"/>
      <w:r w:rsidRPr="004936DB">
        <w:rPr>
          <w:rFonts w:ascii="Times New Roman" w:eastAsia="Times New Roman" w:hAnsi="Times New Roman" w:cs="Times New Roman"/>
          <w:color w:val="000000"/>
          <w:sz w:val="24"/>
          <w:szCs w:val="24"/>
        </w:rPr>
        <w:t>bonafide</w:t>
      </w:r>
      <w:proofErr w:type="spellEnd"/>
      <w:r w:rsidRPr="004936DB">
        <w:rPr>
          <w:rFonts w:ascii="Times New Roman" w:eastAsia="Times New Roman" w:hAnsi="Times New Roman" w:cs="Times New Roman"/>
          <w:color w:val="000000"/>
          <w:sz w:val="24"/>
          <w:szCs w:val="24"/>
        </w:rPr>
        <w:t xml:space="preserve"> .</w:t>
      </w:r>
      <w:proofErr w:type="gramEnd"/>
      <w:r w:rsidRPr="004936DB">
        <w:rPr>
          <w:rFonts w:ascii="Times New Roman" w:eastAsia="Times New Roman" w:hAnsi="Times New Roman" w:cs="Times New Roman"/>
          <w:color w:val="000000"/>
          <w:sz w:val="24"/>
          <w:szCs w:val="24"/>
        </w:rPr>
        <w:t xml:space="preserve"> once allocation is challenged , rule 8d mandatory</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r w:rsidRPr="004936DB">
        <w:rPr>
          <w:rFonts w:ascii="Times New Roman" w:eastAsia="Times New Roman" w:hAnsi="Times New Roman" w:cs="Times New Roman"/>
          <w:color w:val="000000"/>
          <w:sz w:val="24"/>
          <w:szCs w:val="24"/>
        </w:rPr>
        <w:t>In most cases 80-ia/,b etc courts have allowed only pure operational profits- ignored DEPB /subsidy etc</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r w:rsidRPr="004936DB">
        <w:rPr>
          <w:rFonts w:ascii="Times New Roman" w:eastAsia="Times New Roman" w:hAnsi="Times New Roman" w:cs="Times New Roman"/>
          <w:color w:val="000000"/>
          <w:sz w:val="24"/>
          <w:szCs w:val="24"/>
        </w:rPr>
        <w:t>Similarly error prejudicial to the revenue also does not include change of opinion</w:t>
      </w:r>
    </w:p>
    <w:p w:rsidR="004936DB" w:rsidRPr="004936DB" w:rsidRDefault="004936DB" w:rsidP="004936DB">
      <w:pPr>
        <w:numPr>
          <w:ilvl w:val="0"/>
          <w:numId w:val="1"/>
        </w:numPr>
        <w:spacing w:after="0" w:line="300" w:lineRule="atLeast"/>
        <w:ind w:left="0"/>
        <w:rPr>
          <w:rFonts w:ascii="Times New Roman" w:eastAsia="Times New Roman" w:hAnsi="Times New Roman" w:cs="Times New Roman"/>
          <w:color w:val="000000"/>
          <w:sz w:val="24"/>
          <w:szCs w:val="24"/>
        </w:rPr>
      </w:pPr>
      <w:r w:rsidRPr="004936DB">
        <w:rPr>
          <w:rFonts w:ascii="Times New Roman" w:eastAsia="Times New Roman" w:hAnsi="Times New Roman" w:cs="Times New Roman"/>
          <w:color w:val="000000"/>
          <w:sz w:val="24"/>
          <w:szCs w:val="24"/>
        </w:rPr>
        <w:t>House property income notional interest not taken.</w:t>
      </w:r>
    </w:p>
    <w:p w:rsidR="004936DB" w:rsidRDefault="004936DB"/>
    <w:sectPr w:rsidR="004936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48252C"/>
    <w:multiLevelType w:val="multilevel"/>
    <w:tmpl w:val="67A81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4936DB"/>
    <w:rsid w:val="004936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36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Normal"/>
    <w:rsid w:val="004936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36DB"/>
  </w:style>
  <w:style w:type="character" w:customStyle="1" w:styleId="apple-style-span">
    <w:name w:val="apple-style-span"/>
    <w:basedOn w:val="DefaultParagraphFont"/>
    <w:rsid w:val="004936DB"/>
  </w:style>
</w:styles>
</file>

<file path=word/webSettings.xml><?xml version="1.0" encoding="utf-8"?>
<w:webSettings xmlns:r="http://schemas.openxmlformats.org/officeDocument/2006/relationships" xmlns:w="http://schemas.openxmlformats.org/wordprocessingml/2006/main">
  <w:divs>
    <w:div w:id="98330173">
      <w:bodyDiv w:val="1"/>
      <w:marLeft w:val="0"/>
      <w:marRight w:val="0"/>
      <w:marTop w:val="0"/>
      <w:marBottom w:val="0"/>
      <w:divBdr>
        <w:top w:val="none" w:sz="0" w:space="0" w:color="auto"/>
        <w:left w:val="none" w:sz="0" w:space="0" w:color="auto"/>
        <w:bottom w:val="none" w:sz="0" w:space="0" w:color="auto"/>
        <w:right w:val="none" w:sz="0" w:space="0" w:color="auto"/>
      </w:divBdr>
    </w:div>
    <w:div w:id="488057302">
      <w:bodyDiv w:val="1"/>
      <w:marLeft w:val="0"/>
      <w:marRight w:val="0"/>
      <w:marTop w:val="0"/>
      <w:marBottom w:val="0"/>
      <w:divBdr>
        <w:top w:val="none" w:sz="0" w:space="0" w:color="auto"/>
        <w:left w:val="none" w:sz="0" w:space="0" w:color="auto"/>
        <w:bottom w:val="none" w:sz="0" w:space="0" w:color="auto"/>
        <w:right w:val="none" w:sz="0" w:space="0" w:color="auto"/>
      </w:divBdr>
    </w:div>
    <w:div w:id="703872959">
      <w:bodyDiv w:val="1"/>
      <w:marLeft w:val="0"/>
      <w:marRight w:val="0"/>
      <w:marTop w:val="0"/>
      <w:marBottom w:val="0"/>
      <w:divBdr>
        <w:top w:val="none" w:sz="0" w:space="0" w:color="auto"/>
        <w:left w:val="none" w:sz="0" w:space="0" w:color="auto"/>
        <w:bottom w:val="none" w:sz="0" w:space="0" w:color="auto"/>
        <w:right w:val="none" w:sz="0" w:space="0" w:color="auto"/>
      </w:divBdr>
    </w:div>
    <w:div w:id="1978879711">
      <w:bodyDiv w:val="1"/>
      <w:marLeft w:val="0"/>
      <w:marRight w:val="0"/>
      <w:marTop w:val="0"/>
      <w:marBottom w:val="0"/>
      <w:divBdr>
        <w:top w:val="none" w:sz="0" w:space="0" w:color="auto"/>
        <w:left w:val="none" w:sz="0" w:space="0" w:color="auto"/>
        <w:bottom w:val="none" w:sz="0" w:space="0" w:color="auto"/>
        <w:right w:val="none" w:sz="0" w:space="0" w:color="auto"/>
      </w:divBdr>
    </w:div>
    <w:div w:id="20322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2082</Words>
  <Characters>11868</Characters>
  <Application>Microsoft Office Word</Application>
  <DocSecurity>0</DocSecurity>
  <Lines>98</Lines>
  <Paragraphs>27</Paragraphs>
  <ScaleCrop>false</ScaleCrop>
  <Company>S.T</Company>
  <LinksUpToDate>false</LinksUpToDate>
  <CharactersWithSpaces>13923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Happy Home</dc:creator>
  <cp:keywords/>
  <dc:description/>
  <cp:lastModifiedBy>Happy Home</cp:lastModifiedBy>
  <cp:revision>2</cp:revision>
  <dcterms:created xsi:type="dcterms:W3CDTF">2011-04-29T04:39:00Z</dcterms:created>
  <dcterms:modified xsi:type="dcterms:W3CDTF">2011-04-29T04:44:00Z</dcterms:modified>
</cp:coreProperties>
</file>